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For the month of June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June 1,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June 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tabs>
          <w:tab w:leader="none" w:pos="77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 2023</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 2023.</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June 1, 2023,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17145</wp:posOffset>
            </wp:positionV>
            <wp:extent cx="203200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2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Bitfarms Mines 459 BTC in May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- 2,900 new miners arrived in Argentina -</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(June 1,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provided a Bitcoin (BTC) production and mining operations update for May 2023.</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May 2023, our increased visibility into deliveries and installations in Rio Cuarto, Argentina led us to accelerate our organic growth target of 6.0 EH/s from the end of Q4 2023 to the end of Q3 2023,” said Geoff Morphy, CEO of Bitfarms. “We are focused on organic and other growth opportunities that bring value and accretive cash flow to us ahead of the Halving expected in April 2024. Contributing to our organic growth will be reaching full production at the first 50 MW facility in Rio Cuarto and the first 11 MW of the 22 MW expansion in process of closing in Baie-Comeau, Quebec. In addition, we continue to build liquidity and remain well-positioned to move quickly as attractive prospects for equipment and sites emerge.”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 Gagnon, Chief Mining Officer of Bitfarms, said, “In May, BTC production increased 6.5% year-over-year largely due to a temporary spike in BTC transaction fees. A 47% year-over-year increase in our hashrate was offset by a 65% increase in network difficulty in the same period. On a sequential month-over-month basis, our corporate hashrate held steady with 5.0 EH/s. Of the 6,200 miners ordered in April, 2,900 arrived in Argentina in May as expected, and the remaining 3,300 are en route.”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average BTC price of $27,500 in May, we continued to be cash flow positive, both from operations and after scheduled interest and principal payments. Mining 459 BTC and selling 414 BTC, we added 45 BTC to treasury in May, bringing the total held at month-end to 510 BTC,” concluded Morphy.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 Review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Network difficulty increased another 5.2% in May and is up 44.9% year-to-date in 2023, while Bitcoin price is up roughly 63.5% in the same period, resulting in a 26.7% improvement in mining economics as measured by USD/TH.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increased to 459 BTC, up 21.1% from April, as energy curtailment in Quebec fully subsided and an additional day of production was gained with 31 days in the month of May.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380"/>
              <w:spacing w:after="0"/>
              <w:rPr>
                <w:sz w:val="20"/>
                <w:szCs w:val="20"/>
                <w:color w:val="auto"/>
              </w:rPr>
            </w:pPr>
            <w:r>
              <w:rPr>
                <w:rFonts w:ascii="Arial" w:cs="Arial" w:eastAsia="Arial" w:hAnsi="Arial"/>
                <w:sz w:val="18"/>
                <w:szCs w:val="18"/>
                <w:b w:val="1"/>
                <w:bCs w:val="1"/>
                <w:color w:val="auto"/>
              </w:rPr>
              <w:t>May</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Apr.</w:t>
            </w:r>
          </w:p>
        </w:tc>
        <w:tc>
          <w:tcPr>
            <w:tcW w:w="220" w:type="dxa"/>
            <w:vAlign w:val="bottom"/>
          </w:tcPr>
          <w:p>
            <w:pPr>
              <w:spacing w:after="0"/>
              <w:rPr>
                <w:sz w:val="18"/>
                <w:szCs w:val="18"/>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b w:val="1"/>
                <w:bCs w:val="1"/>
                <w:color w:val="auto"/>
              </w:rPr>
              <w:t>May</w:t>
            </w:r>
          </w:p>
        </w:tc>
      </w:tr>
      <w:tr>
        <w:trPr>
          <w:trHeight w:val="241"/>
        </w:trPr>
        <w:tc>
          <w:tcPr>
            <w:tcW w:w="4040" w:type="dxa"/>
            <w:vAlign w:val="bottom"/>
          </w:tcPr>
          <w:p>
            <w:pPr>
              <w:spacing w:after="0"/>
              <w:rPr>
                <w:sz w:val="20"/>
                <w:szCs w:val="20"/>
                <w:color w:val="auto"/>
              </w:rPr>
            </w:pPr>
            <w:r>
              <w:rPr>
                <w:rFonts w:ascii="Arial" w:cs="Arial" w:eastAsia="Arial" w:hAnsi="Arial"/>
                <w:sz w:val="18"/>
                <w:szCs w:val="18"/>
                <w:b w:val="1"/>
                <w:bCs w:val="1"/>
                <w:color w:val="auto"/>
              </w:rPr>
              <w:t>Key Performance Indicators</w:t>
            </w:r>
          </w:p>
        </w:tc>
        <w:tc>
          <w:tcPr>
            <w:tcW w:w="4060" w:type="dxa"/>
            <w:vAlign w:val="bottom"/>
            <w:gridSpan w:val="3"/>
          </w:tcPr>
          <w:p>
            <w:pPr>
              <w:ind w:left="3660"/>
              <w:spacing w:after="0"/>
              <w:rPr>
                <w:sz w:val="20"/>
                <w:szCs w:val="20"/>
                <w:color w:val="auto"/>
              </w:rPr>
            </w:pPr>
            <w:r>
              <w:rPr>
                <w:rFonts w:ascii="Arial" w:cs="Arial" w:eastAsia="Arial" w:hAnsi="Arial"/>
                <w:sz w:val="18"/>
                <w:szCs w:val="18"/>
                <w:b w:val="1"/>
                <w:bCs w:val="1"/>
                <w:color w:val="auto"/>
                <w:w w:val="94"/>
              </w:rPr>
              <w:t>2023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360" w:type="dxa"/>
            <w:vAlign w:val="bottom"/>
            <w:gridSpan w:val="2"/>
          </w:tcPr>
          <w:p>
            <w:pPr>
              <w:ind w:left="60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3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Month End Operating EH/s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BTC/Avg. EH/s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Operating Capacity (MW)</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Hydropower MW</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Watts/Terahash Efficiency (w/TH)</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BTC Sold</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655"/>
        </w:trPr>
        <w:tc>
          <w:tcPr>
            <w:tcW w:w="4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May 2023 Select Operating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 EH/s online as of May 31, 2023, up 47% from May 31, 2022, and comparable to April 30,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4.9 EH/s average online, up 4.3% from April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92.6 BTC/average EH/s, up 14.9% from 80.6 in April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459 BTC mined, up 6.5% from May 2022 and up 21.1% from April 2023.</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14.8 BTC mined daily on average, equivalent to about $401,100 per day and approximately $12.4 million for the month, based on a BTC price of $27,100 on May 31, 2023.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Rio Cuarto, Argentina:</w:t>
      </w:r>
    </w:p>
    <w:p>
      <w:pPr>
        <w:spacing w:after="0" w:line="225" w:lineRule="exact"/>
        <w:rPr>
          <w:rFonts w:ascii="Arial" w:cs="Arial" w:eastAsia="Arial" w:hAnsi="Arial"/>
          <w:sz w:val="18"/>
          <w:szCs w:val="18"/>
          <w:color w:val="auto"/>
        </w:rPr>
      </w:pPr>
    </w:p>
    <w:p>
      <w:pPr>
        <w:ind w:left="660" w:right="4160"/>
        <w:spacing w:after="0" w:line="500" w:lineRule="auto"/>
        <w:rPr>
          <w:rFonts w:ascii="Arial" w:cs="Arial" w:eastAsia="Arial" w:hAnsi="Arial"/>
          <w:sz w:val="18"/>
          <w:szCs w:val="18"/>
          <w:color w:val="auto"/>
        </w:rPr>
      </w:pPr>
      <w:r>
        <w:rPr>
          <w:rFonts w:ascii="Arial" w:cs="Arial" w:eastAsia="Arial" w:hAnsi="Arial"/>
          <w:sz w:val="18"/>
          <w:szCs w:val="18"/>
          <w:color w:val="auto"/>
        </w:rPr>
        <w:t>o 2,900 MicroBT miners landed in Argentina and are scheduled to be installed in June. o Expect to receive and install another 3,300 Bitmain miners in June.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executing Baie-Comeau acquisition representing 22 MW of hydro power capacity, which remains on track to close in June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Bitfarms’ BTC Monthly Production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an overview of BTC mined per month in each of the first five months of 2023 and 2022,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BTC Mined</w:t>
            </w:r>
          </w:p>
        </w:tc>
        <w:tc>
          <w:tcPr>
            <w:tcW w:w="22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rPr>
              <w:t>BTC Mined</w:t>
            </w:r>
          </w:p>
        </w:tc>
      </w:tr>
      <w:tr>
        <w:trPr>
          <w:trHeight w:val="241"/>
        </w:trPr>
        <w:tc>
          <w:tcPr>
            <w:tcW w:w="8540" w:type="dxa"/>
            <w:vAlign w:val="bottom"/>
          </w:tcPr>
          <w:p>
            <w:pPr>
              <w:spacing w:after="0"/>
              <w:rPr>
                <w:sz w:val="20"/>
                <w:szCs w:val="20"/>
                <w:color w:val="auto"/>
              </w:rPr>
            </w:pPr>
            <w:r>
              <w:rPr>
                <w:rFonts w:ascii="Arial" w:cs="Arial" w:eastAsia="Arial" w:hAnsi="Arial"/>
                <w:sz w:val="18"/>
                <w:szCs w:val="18"/>
                <w:b w:val="1"/>
                <w:bCs w:val="1"/>
                <w:color w:val="auto"/>
              </w:rPr>
              <w:t>Month</w:t>
            </w:r>
          </w:p>
        </w:tc>
        <w:tc>
          <w:tcPr>
            <w:tcW w:w="12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3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February</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387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April</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379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r>
      <w:tr>
        <w:trPr>
          <w:trHeight w:val="250"/>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May</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8"/>
                <w:szCs w:val="18"/>
                <w:b w:val="1"/>
                <w:bCs w:val="1"/>
                <w:color w:val="auto"/>
              </w:rPr>
              <w:t>Total YTD</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2,135</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1,798</w:t>
            </w:r>
          </w:p>
        </w:tc>
        <w:tc>
          <w:tcPr>
            <w:tcW w:w="100" w:type="dxa"/>
            <w:vAlign w:val="bottom"/>
          </w:tcPr>
          <w:p>
            <w:pPr>
              <w:spacing w:after="0"/>
              <w:rPr>
                <w:sz w:val="20"/>
                <w:szCs w:val="20"/>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May 2023 Financial Update</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Sold 414 BTC of the 459 BTC mined, generating total proceeds of $11.3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total outstanding indebtedness by $1.8 million, leaving a balance of $17.4 million at May 31, 2023.</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Added 45 BTC to treasury, increasing custody to 510 BTC, representing approximately $13.8 million based on a BTC price of $27,100 on May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Conferences and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plans to attend the following upcoming events: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June 14-15, Cantor Fitzgerald Technology Conference,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23430" cy="960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96012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20" w:hanging="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685800"/>
                    </a:xfrm>
                    <a:prstGeom prst="rect">
                      <a:avLst/>
                    </a:prstGeom>
                    <a:noFill/>
                  </pic:spPr>
                </pic:pic>
              </a:graphicData>
            </a:graphic>
          </wp:anchor>
        </w:drawing>
        <w:t>Bitfarms currently has 10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208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-1082040</wp:posOffset>
            </wp:positionV>
            <wp:extent cx="67208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-807720</wp:posOffset>
            </wp:positionV>
            <wp:extent cx="67208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-533400</wp:posOffset>
            </wp:positionV>
            <wp:extent cx="67208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-259080</wp:posOffset>
            </wp:positionV>
            <wp:extent cx="67208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097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growth opportunities and prospects,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2023-06-01T15:13:38Z</dcterms:created>
  <dcterms:modified xsi:type="dcterms:W3CDTF">2023-06-01T15:13:38Z</dcterms:modified>
</cp:coreProperties>
</file>