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March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Changes to Executive Team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25, 2024, Bitfarms Ltd. (the “Company”) announced that L. Geoffrey Morphy, the Company’s President, Chief Executive Officer and a member of the Company’s board of directors (the “Board”), will be departing the Company upon completion of an executive search and will lead the Company during the interim period. The Board has formed a CEO search committee comprised of independent directors to work with an identified executive search firm.</w:t>
      </w:r>
    </w:p>
    <w:p>
      <w:pPr>
        <w:spacing w:after="0" w:line="180" w:lineRule="exact"/>
        <w:rPr>
          <w:sz w:val="20"/>
          <w:szCs w:val="20"/>
          <w:color w:val="auto"/>
        </w:rPr>
      </w:pPr>
    </w:p>
    <w:p>
      <w:pPr>
        <w:jc w:val="both"/>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set forth in this “Changes to Executive Team” section is hereby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333-272989).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25, 2024, the Registrant filed with the Canadian Securities Regulatory Authorities on the System for Electronic Data Analysis and Retrieval + (SEDAR +) a material change report that includes a copy of a press release, a copy of which is attached hereto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March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 110 Yonge Street, Suite 1601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March 25,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 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Announces CEO Transition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Geoff Morphy remains CEO while an executive search is conducted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Company reiterates 2024 YE guidance of 21 EH/s and 21 w/TH -</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(March 25, 2024) </w:t>
      </w:r>
      <w:r>
        <w:rPr>
          <w:rFonts w:ascii="Times New Roman" w:cs="Times New Roman" w:eastAsia="Times New Roman" w:hAnsi="Times New Roman"/>
          <w:sz w:val="18"/>
          <w:szCs w:val="18"/>
          <w:color w:val="auto"/>
        </w:rPr>
        <w:t>- Bitfarms Ltd. (NASDAQ/TSX: BITF), a global vertically integrated Bitcoin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announces a CEO transition. L. Geoffrey Morphy, President, Chief Executive Officer and Director, will be departing upon completion of an executive search and will lead the Company during the interim. Mr. Morphy will continue to focus on our corporate growth strategy, ensuring execution towards our growth targets and a smooth transition of leadership. The Board has formed a CEO search committee of independent directors that will act expeditiously with an identified executive search firm.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is evolving to meet the needs of rapidly increasing investor interest in Bitcoin and Bitcoin mining worldwide,” said Chairman Nicolas Bonta. “We are committed to expanding our business to drive greater returns and maximize shareholder value. There is a huge opportunity in front of us and we are committed to moving forward with a seamless transition while executing on our strategic goals.”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Bonta continued, “We thank Geoff for his leadership, commitment to strong governance and dedication to expanding the Company’s operations. Since joining the company in 2020, Morphy modernized Bitfarms management infrastructure and transformed its mining portfolio, leading to significant growth, international diversification, and operating efficiencies. Morphy oversaw the international expansion into the U.S., Paraguay, and Argentina as well as expanding in Quebec. Morphy has been an integral part of the Company's success, and it is due to his stewardship that the Company is now opportunely poised for this CEO transition. We are confident in the strength of our management team and the dedication of our employees to continue to drive Bitfarms to be the top performer in the industry.”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has been the greatest privilege of my career to serve Bitfarms, our shareholders, and our employees. I am extremely proud of what we’ve accomplished as a team,” said Morphy. “Together, we expanded our operations and strengthened our balance sheet, positioning us to embark on the greatest growth in our history. I have every confidence that the management team will be successful in achieving our 2024 growth targets.”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154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prospects for management changes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t>
      </w:r>
      <w:r>
        <w:rPr>
          <w:rFonts w:ascii="Times New Roman" w:cs="Times New Roman" w:eastAsia="Times New Roman" w:hAnsi="Times New Roman"/>
          <w:sz w:val="18"/>
          <w:szCs w:val="18"/>
          <w:i w:val="1"/>
          <w:iCs w:val="1"/>
          <w:color w:val="auto"/>
          <w:highlight w:val="white"/>
        </w:rPr>
        <w:t>“will”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20" w:hanging="8"/>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manage the business and affairs of the Company on an interim basis pending the hiring of a permanent President and Chief Executive Officer; the ability to recruit and hire a qualified President and Chief Executive Officer on a timely basis and the ability of the candidate to successfully fulfill the requirements of the position; the construction and operation of the Company’s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including the Company’s ability to utilize the Company’s at-the-market equity offering program (the “ATM Program”) and the prices at which the Company may sell Common Shares in the ATM Program;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MD&amp;A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9" Type="http://schemas.openxmlformats.org/officeDocument/2006/relationships/hyperlink" Target="http://www.sec.gov/Archives/edgar/data/1812477/000121390024021080/ea0201346-f10a4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2024-03-25T08:49:14Z</dcterms:created>
  <dcterms:modified xsi:type="dcterms:W3CDTF">2024-03-25T08:49:14Z</dcterms:modified>
</cp:coreProperties>
</file>