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04048-6k_bitfarms.htm"/>
      <w:bookmarkStart w:id="1" w:name="ksea02040486k_bitfarms"/>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001-40370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79" w:right="0" w:hanging="0"/>
        <w:jc w:val="center"/>
        <w:rPr>
          <w:caps w:val="false"/>
          <w:smallCaps w:val="false"/>
        </w:rPr>
      </w:pPr>
      <w:r>
        <w:rPr>
          <w:caps w:val="false"/>
          <w:smallCaps w:val="false"/>
        </w:rPr>
        <w:t> </w:t>
      </w:r>
    </w:p>
    <w:p>
      <w:pPr>
        <w:pStyle w:val="TextBody"/>
        <w:bidi w:val="0"/>
        <w:spacing w:before="0" w:after="0"/>
        <w:ind w:left="97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the Registrant filed with the Canadian Securities Regulatory Authorities on the System for Electronic Data Analysis and Retrieval + (SEDAR +) a press release, a copy of which is attached hereto as Exhibit 99.1, and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980"/>
        <w:gridCol w:w="60"/>
        <w:gridCol w:w="2765"/>
      </w:tblGrid>
      <w:tr>
        <w:trPr/>
        <w:tc>
          <w:tcPr>
            <w:tcW w:w="980" w:type="dxa"/>
            <w:tcBorders/>
            <w:vAlign w:val="center"/>
          </w:tcPr>
          <w:p>
            <w:pPr>
              <w:pStyle w:val="TableContents"/>
              <w:bidi w:val="0"/>
              <w:spacing w:before="0" w:after="283"/>
              <w:jc w:val="both"/>
              <w:rPr>
                <w:b/>
                <w:sz w:val="20"/>
              </w:rPr>
            </w:pPr>
            <w:r>
              <w:rPr>
                <w:b/>
                <w:sz w:val="20"/>
              </w:rPr>
              <w:t>Exhibits</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w:t>
            </w:r>
          </w:p>
        </w:tc>
      </w:tr>
      <w:tr>
        <w:trPr/>
        <w:tc>
          <w:tcPr>
            <w:tcW w:w="980" w:type="dxa"/>
            <w:tcBorders>
              <w:bottom w:val="single" w:sz="12" w:space="0" w:color="000000"/>
            </w:tcBorders>
            <w:tcMar>
              <w:bottom w:w="28" w:type="dxa"/>
            </w:tcMar>
            <w:vAlign w:val="center"/>
          </w:tcPr>
          <w:p>
            <w:pPr>
              <w:pStyle w:val="TableContents"/>
              <w:bidi w:val="0"/>
              <w:spacing w:before="0" w:after="283"/>
              <w:jc w:val="both"/>
              <w:rPr>
                <w:sz w:val="20"/>
              </w:rPr>
            </w:pPr>
            <w:r>
              <w:rPr>
                <w:sz w:val="20"/>
              </w:rPr>
              <w:t>Exhibit No.</w:t>
            </w:r>
          </w:p>
        </w:tc>
        <w:tc>
          <w:tcPr>
            <w:tcW w:w="60" w:type="dxa"/>
            <w:tcBorders/>
            <w:vAlign w:val="center"/>
          </w:tcPr>
          <w:p>
            <w:pPr>
              <w:pStyle w:val="TableContents"/>
              <w:bidi w:val="0"/>
              <w:spacing w:before="0" w:after="283"/>
              <w:jc w:val="left"/>
              <w:rPr/>
            </w:pPr>
            <w:r>
              <w:rPr/>
              <w:t> </w:t>
            </w:r>
          </w:p>
        </w:tc>
        <w:tc>
          <w:tcPr>
            <w:tcW w:w="2765" w:type="dxa"/>
            <w:tcBorders>
              <w:bottom w:val="single" w:sz="12" w:space="0" w:color="000000"/>
            </w:tcBorders>
            <w:tcMar>
              <w:bottom w:w="28" w:type="dxa"/>
            </w:tcMar>
            <w:vAlign w:val="center"/>
          </w:tcPr>
          <w:p>
            <w:pPr>
              <w:pStyle w:val="TableContents"/>
              <w:bidi w:val="0"/>
              <w:spacing w:before="0" w:after="283"/>
              <w:jc w:val="both"/>
              <w:rPr>
                <w:sz w:val="20"/>
              </w:rPr>
            </w:pPr>
            <w:r>
              <w:rPr>
                <w:sz w:val="20"/>
              </w:rPr>
              <w:t>Description</w:t>
            </w:r>
          </w:p>
        </w:tc>
      </w:tr>
      <w:tr>
        <w:trPr/>
        <w:tc>
          <w:tcPr>
            <w:tcW w:w="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w:t>
            </w:r>
          </w:p>
        </w:tc>
      </w:tr>
      <w:tr>
        <w:trPr/>
        <w:tc>
          <w:tcPr>
            <w:tcW w:w="980" w:type="dxa"/>
            <w:tcBorders/>
            <w:shd w:fill="CCEEFF" w:val="clear"/>
            <w:vAlign w:val="center"/>
          </w:tcPr>
          <w:p>
            <w:pPr>
              <w:pStyle w:val="TableContents"/>
              <w:bidi w:val="0"/>
              <w:spacing w:before="0" w:after="283"/>
              <w:jc w:val="both"/>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both"/>
              <w:rPr/>
            </w:pPr>
            <w:hyperlink w:anchor="ea020404801ex99-1_bitfarms.htm">
              <w:r>
                <w:rPr>
                  <w:rStyle w:val="InternetLink"/>
                  <w:sz w:val="20"/>
                </w:rPr>
                <w:t>Press release dated April 17, 2024</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6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75"/>
        <w:gridCol w:w="365"/>
        <w:gridCol w:w="650"/>
        <w:gridCol w:w="3695"/>
      </w:tblGrid>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b/>
              </w:rPr>
            </w:pPr>
            <w:r>
              <w:rPr>
                <w:b/>
              </w:rPr>
              <w:t>BITFARMS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45" w:type="dxa"/>
            <w:gridSpan w:val="2"/>
            <w:tcBorders>
              <w:bottom w:val="single" w:sz="12" w:space="0" w:color="000000"/>
            </w:tcBorders>
            <w:tcMar>
              <w:bottom w:w="28" w:type="dxa"/>
            </w:tcMar>
            <w:vAlign w:val="center"/>
          </w:tcPr>
          <w:p>
            <w:pPr>
              <w:pStyle w:val="TableContents"/>
              <w:bidi w:val="0"/>
              <w:spacing w:before="0" w:after="283"/>
              <w:jc w:val="left"/>
              <w:rPr/>
            </w:pPr>
            <w:r>
              <w:rPr/>
              <w:t>/s/ L. Geoffrey Morphy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95" w:type="dxa"/>
            <w:tcBorders/>
            <w:vAlign w:val="center"/>
          </w:tcPr>
          <w:p>
            <w:pPr>
              <w:pStyle w:val="TableContents"/>
              <w:bidi w:val="0"/>
              <w:spacing w:before="0" w:after="283"/>
              <w:jc w:val="left"/>
              <w:rPr/>
            </w:pPr>
            <w:r>
              <w:rPr/>
              <w:t> </w:t>
            </w:r>
            <w:r>
              <w:rPr/>
              <w:t>L. Geoffrey Morphy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 </w:t>
            </w: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17,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shd w:fill="FFFFFF" w:val="clear"/>
        <w:bidi w:val="0"/>
        <w:spacing w:before="0" w:after="0"/>
        <w:ind w:left="11" w:right="0" w:hanging="11"/>
        <w:jc w:val="right"/>
        <w:rPr>
          <w:rFonts w:ascii="Times New Roman;Times;Serif" w:hAnsi="Times New Roman;Times;Serif"/>
          <w:b/>
          <w:i w:val="false"/>
          <w:caps w:val="false"/>
          <w:smallCaps w:val="false"/>
          <w:sz w:val="20"/>
        </w:rPr>
      </w:pPr>
      <w:bookmarkStart w:id="2" w:name="ea020404801ex99-1_bitfarms.htm"/>
      <w:bookmarkStart w:id="3" w:name="ksea020404801ex991_bitfarms"/>
      <w:bookmarkEnd w:id="2"/>
      <w:bookmarkEnd w:id="3"/>
      <w:r>
        <w:rPr>
          <w:rFonts w:ascii="Times New Roman;Times;Serif" w:hAnsi="Times New Roman;Times;Serif"/>
          <w:b/>
          <w:i w:val="false"/>
          <w:caps w:val="false"/>
          <w:smallCaps w:val="false"/>
          <w:sz w:val="20"/>
        </w:rPr>
        <w:t>Exhibit 99.1</w:t>
      </w:r>
      <w:r>
        <w:br w:type="page"/>
      </w:r>
    </w:p>
    <w:p>
      <w:pPr>
        <w:pStyle w:val="TextBody"/>
        <w:shd w:fill="FFFFFF" w:val="clear"/>
        <w:bidi w:val="0"/>
        <w:spacing w:before="0" w:after="0"/>
        <w:ind w:left="11" w:right="0" w:hanging="11"/>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90550"/>
                    </a:xfrm>
                    <a:prstGeom prst="rect">
                      <a:avLst/>
                    </a:prstGeom>
                  </pic:spPr>
                </pic:pic>
              </a:graphicData>
            </a:graphic>
          </wp:inline>
        </w:drawing>
      </w:r>
    </w:p>
    <w:p>
      <w:pPr>
        <w:pStyle w:val="TextBody"/>
        <w:shd w:fill="FFFFFF" w:val="clear"/>
        <w:bidi w:val="0"/>
        <w:spacing w:before="0" w:after="0"/>
        <w:ind w:left="11" w:right="0" w:hanging="11"/>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Bitfarms to Participate in Upcoming Conferences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Brossard, Québec (April 17, 2024)</w:t>
      </w:r>
      <w:r>
        <w:rPr>
          <w:rFonts w:ascii="Times New Roman;Times;Serif" w:hAnsi="Times New Roman;Times;Serif"/>
          <w:b w:val="false"/>
          <w:i w:val="false"/>
          <w:caps w:val="false"/>
          <w:smallCaps w:val="false"/>
          <w:sz w:val="20"/>
        </w:rPr>
        <w:t xml:space="preserve"> - Bitfarms Ltd. (NASDAQ: BITF/TSX: BITF), a global vertically integrated company, today announced that various members of management will be participating in the upcoming investor and industry conferences:</w:t>
      </w:r>
    </w:p>
    <w:p>
      <w:pPr>
        <w:pStyle w:val="TextBody"/>
        <w:bidi w:val="0"/>
        <w:spacing w:before="0" w:after="0"/>
        <w:ind w:left="720" w:right="0" w:hanging="0"/>
        <w:jc w:val="both"/>
        <w:rPr>
          <w:caps w:val="false"/>
          <w:smallCaps w:val="false"/>
        </w:rPr>
      </w:pPr>
      <w:r>
        <w:rPr>
          <w:caps w:val="false"/>
          <w:smallCaps w:val="false"/>
        </w:rPr>
        <w:t> </w:t>
      </w:r>
    </w:p>
    <w:tbl>
      <w:tblPr>
        <w:tblW w:w="5644" w:type="dxa"/>
        <w:jc w:val="left"/>
        <w:tblInd w:w="0" w:type="dxa"/>
        <w:tblLayout w:type="fixed"/>
        <w:tblCellMar>
          <w:top w:w="0" w:type="dxa"/>
          <w:left w:w="0" w:type="dxa"/>
          <w:bottom w:w="0" w:type="dxa"/>
          <w:right w:w="0" w:type="dxa"/>
        </w:tblCellMar>
      </w:tblPr>
      <w:tblGrid>
        <w:gridCol w:w="75"/>
        <w:gridCol w:w="97"/>
        <w:gridCol w:w="1859"/>
        <w:gridCol w:w="3613"/>
      </w:tblGrid>
      <w:tr>
        <w:trPr/>
        <w:tc>
          <w:tcPr>
            <w:tcW w:w="75" w:type="dxa"/>
            <w:tcBorders/>
            <w:vAlign w:val="center"/>
          </w:tcPr>
          <w:p>
            <w:pPr>
              <w:pStyle w:val="TableContents"/>
              <w:bidi w:val="0"/>
              <w:spacing w:before="0" w:after="283"/>
              <w:jc w:val="left"/>
              <w:rPr/>
            </w:pPr>
            <w:r>
              <w:rPr/>
              <w:t> </w:t>
            </w:r>
          </w:p>
        </w:tc>
        <w:tc>
          <w:tcPr>
            <w:tcW w:w="55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 Energy Summit</w:t>
            </w:r>
          </w:p>
        </w:tc>
      </w:tr>
      <w:tr>
        <w:trPr/>
        <w:tc>
          <w:tcPr>
            <w:tcW w:w="75" w:type="dxa"/>
            <w:tcBorders/>
            <w:vAlign w:val="center"/>
          </w:tcPr>
          <w:p>
            <w:pPr>
              <w:pStyle w:val="TableContents"/>
              <w:bidi w:val="0"/>
              <w:spacing w:before="0" w:after="283"/>
              <w:jc w:val="left"/>
              <w:rPr/>
            </w:pPr>
            <w:r>
              <w:rPr/>
              <w:t> </w:t>
            </w:r>
          </w:p>
        </w:tc>
        <w:tc>
          <w:tcPr>
            <w:tcW w:w="556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April 22-23, 2024</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Location:</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Miami, FL</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pPr>
            <w:r>
              <w:rPr/>
              <w:t> </w:t>
            </w:r>
          </w:p>
        </w:tc>
        <w:tc>
          <w:tcPr>
            <w:tcW w:w="361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5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AIM Summit London 2024</w:t>
            </w:r>
          </w:p>
        </w:tc>
      </w:tr>
      <w:tr>
        <w:trPr/>
        <w:tc>
          <w:tcPr>
            <w:tcW w:w="75" w:type="dxa"/>
            <w:tcBorders/>
            <w:vAlign w:val="center"/>
          </w:tcPr>
          <w:p>
            <w:pPr>
              <w:pStyle w:val="TableContents"/>
              <w:bidi w:val="0"/>
              <w:spacing w:before="0" w:after="283"/>
              <w:jc w:val="left"/>
              <w:rPr/>
            </w:pPr>
            <w:r>
              <w:rPr/>
              <w:t> </w:t>
            </w:r>
          </w:p>
        </w:tc>
        <w:tc>
          <w:tcPr>
            <w:tcW w:w="556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April 29-30, 2024</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Location:</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London, England </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pPr>
            <w:r>
              <w:rPr/>
              <w:t> </w:t>
            </w:r>
          </w:p>
        </w:tc>
        <w:tc>
          <w:tcPr>
            <w:tcW w:w="361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5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 Asia</w:t>
            </w:r>
          </w:p>
        </w:tc>
        <w:tc>
          <w:tcPr>
            <w:tcW w:w="361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56" w:type="dxa"/>
            <w:gridSpan w:val="2"/>
            <w:tcBorders/>
            <w:vAlign w:val="center"/>
          </w:tcPr>
          <w:p>
            <w:pPr>
              <w:pStyle w:val="TableContents"/>
              <w:bidi w:val="0"/>
              <w:spacing w:before="0" w:after="283"/>
              <w:jc w:val="left"/>
              <w:rPr/>
            </w:pPr>
            <w:r>
              <w:rPr/>
              <w:t> </w:t>
            </w:r>
          </w:p>
        </w:tc>
        <w:tc>
          <w:tcPr>
            <w:tcW w:w="361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9-10, 2024</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Location:</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Hong Kong, China</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pPr>
            <w:r>
              <w:rPr/>
              <w:t> </w:t>
            </w:r>
          </w:p>
        </w:tc>
        <w:tc>
          <w:tcPr>
            <w:tcW w:w="361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5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th</w:t>
            </w:r>
            <w:r>
              <w:rPr>
                <w:rFonts w:ascii="Times New Roman;Times;Serif" w:hAnsi="Times New Roman;Times;Serif"/>
                <w:sz w:val="20"/>
              </w:rPr>
              <w:t xml:space="preserve"> Annual Needham Technology, Media, &amp; Consumer Conference</w:t>
            </w:r>
          </w:p>
        </w:tc>
      </w:tr>
      <w:tr>
        <w:trPr/>
        <w:tc>
          <w:tcPr>
            <w:tcW w:w="75" w:type="dxa"/>
            <w:tcBorders/>
            <w:vAlign w:val="center"/>
          </w:tcPr>
          <w:p>
            <w:pPr>
              <w:pStyle w:val="TableContents"/>
              <w:bidi w:val="0"/>
              <w:spacing w:before="0" w:after="283"/>
              <w:jc w:val="left"/>
              <w:rPr/>
            </w:pPr>
            <w:r>
              <w:rPr/>
              <w:t> </w:t>
            </w:r>
          </w:p>
        </w:tc>
        <w:tc>
          <w:tcPr>
            <w:tcW w:w="556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14-15, 2024</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Location:</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York City</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Presentation:</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4:30 pm ET, May 14, 2024</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Webcast</w:t>
            </w:r>
          </w:p>
        </w:tc>
        <w:tc>
          <w:tcPr>
            <w:tcW w:w="361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pPr>
            <w:r>
              <w:rPr/>
              <w:t> </w:t>
            </w:r>
          </w:p>
        </w:tc>
        <w:tc>
          <w:tcPr>
            <w:tcW w:w="361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5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DC Blockchain Summit 2024</w:t>
            </w:r>
          </w:p>
        </w:tc>
      </w:tr>
      <w:tr>
        <w:trPr/>
        <w:tc>
          <w:tcPr>
            <w:tcW w:w="75" w:type="dxa"/>
            <w:tcBorders/>
            <w:vAlign w:val="center"/>
          </w:tcPr>
          <w:p>
            <w:pPr>
              <w:pStyle w:val="TableContents"/>
              <w:bidi w:val="0"/>
              <w:spacing w:before="0" w:after="283"/>
              <w:jc w:val="left"/>
              <w:rPr/>
            </w:pPr>
            <w:r>
              <w:rPr/>
              <w:t> </w:t>
            </w:r>
          </w:p>
        </w:tc>
        <w:tc>
          <w:tcPr>
            <w:tcW w:w="556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15, 2024</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Location:</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Washington DC</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pPr>
            <w:r>
              <w:rPr/>
              <w:t> </w:t>
            </w:r>
          </w:p>
        </w:tc>
        <w:tc>
          <w:tcPr>
            <w:tcW w:w="361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5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Riley Securities 24</w:t>
            </w:r>
            <w:r>
              <w:rPr>
                <w:rFonts w:ascii="Times New Roman;Times;Serif" w:hAnsi="Times New Roman;Times;Serif"/>
                <w:position w:val="7"/>
                <w:sz w:val="16"/>
                <w:sz w:val="20"/>
              </w:rPr>
              <w:t>th</w:t>
            </w:r>
            <w:r>
              <w:rPr>
                <w:rFonts w:ascii="Times New Roman;Times;Serif" w:hAnsi="Times New Roman;Times;Serif"/>
                <w:sz w:val="20"/>
              </w:rPr>
              <w:t xml:space="preserve"> Annual Institutional Investor Conference</w:t>
            </w:r>
          </w:p>
        </w:tc>
      </w:tr>
      <w:tr>
        <w:trPr/>
        <w:tc>
          <w:tcPr>
            <w:tcW w:w="75" w:type="dxa"/>
            <w:tcBorders/>
            <w:vAlign w:val="center"/>
          </w:tcPr>
          <w:p>
            <w:pPr>
              <w:pStyle w:val="TableContents"/>
              <w:bidi w:val="0"/>
              <w:spacing w:before="0" w:after="283"/>
              <w:jc w:val="left"/>
              <w:rPr/>
            </w:pPr>
            <w:r>
              <w:rPr/>
              <w:t> </w:t>
            </w:r>
          </w:p>
        </w:tc>
        <w:tc>
          <w:tcPr>
            <w:tcW w:w="556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w:t>
            </w:r>
          </w:p>
        </w:tc>
        <w:tc>
          <w:tcPr>
            <w:tcW w:w="3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22-23, 2024</w:t>
            </w:r>
          </w:p>
        </w:tc>
      </w:tr>
      <w:tr>
        <w:trPr/>
        <w:tc>
          <w:tcPr>
            <w:tcW w:w="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Location:</w:t>
            </w:r>
          </w:p>
        </w:tc>
        <w:tc>
          <w:tcPr>
            <w:tcW w:w="3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Beverly Hills, CA</w:t>
            </w:r>
          </w:p>
        </w:tc>
      </w:tr>
    </w:tbl>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refer to the conference websites or BITF IR Calendar. To arrange a 1:1 meeting at or around any of the events, please contact the appropriate institutional sales representatives or Bitfarms’ IR Team at tkrumme@bitfarms.com.</w:t>
      </w:r>
    </w:p>
    <w:p>
      <w:pPr>
        <w:pStyle w:val="TextBody"/>
        <w:shd w:fill="FEFEFE"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EFEFE"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shd w:fill="FEFEFE" w:val="clear"/>
        <w:bidi w:val="0"/>
        <w:spacing w:before="0" w:after="0"/>
        <w:ind w:left="11" w:right="0" w:hanging="11"/>
        <w:jc w:val="left"/>
        <w:rPr>
          <w:caps w:val="false"/>
          <w:smallCaps w:val="false"/>
        </w:rPr>
      </w:pPr>
      <w:r>
        <w:rPr>
          <w:caps w:val="false"/>
          <w:smallCaps w:val="false"/>
        </w:rPr>
        <w:t> </w:t>
      </w:r>
    </w:p>
    <w:p>
      <w:pPr>
        <w:pStyle w:val="TextBody"/>
        <w:shd w:fill="FEFEFE" w:val="clear"/>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pStyle w:val="TextBody"/>
        <w:shd w:fill="FEFEFE" w:val="clear"/>
        <w:bidi w:val="0"/>
        <w:spacing w:before="0" w:after="0"/>
        <w:ind w:left="11" w:right="0" w:hanging="11"/>
        <w:jc w:val="both"/>
        <w:rPr>
          <w:caps w:val="false"/>
          <w:smallCaps w:val="false"/>
        </w:rPr>
      </w:pPr>
      <w:r>
        <w:rPr>
          <w:caps w:val="false"/>
          <w:smallCaps w:val="false"/>
        </w:rPr>
        <w:t> </w:t>
      </w:r>
    </w:p>
    <w:p>
      <w:pPr>
        <w:pStyle w:val="TextBody"/>
        <w:shd w:fill="FEFEFE" w:val="clear"/>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pStyle w:val="TextBody"/>
        <w:shd w:fill="FEFEFE" w:val="clear"/>
        <w:bidi w:val="0"/>
        <w:spacing w:before="0" w:after="0"/>
        <w:ind w:left="14" w:right="0" w:hanging="14"/>
        <w:jc w:val="both"/>
        <w:rPr>
          <w:caps w:val="false"/>
          <w:smallCaps w:val="false"/>
        </w:rPr>
      </w:pPr>
      <w:r>
        <w:rPr>
          <w:caps w:val="false"/>
          <w:smallCaps w:val="false"/>
        </w:rPr>
        <w:t> </w:t>
      </w:r>
    </w:p>
    <w:p>
      <w:pPr>
        <w:pStyle w:val="TextBody"/>
        <w:shd w:fill="FEFEFE" w:val="clear"/>
        <w:bidi w:val="0"/>
        <w:spacing w:before="0" w:after="0"/>
        <w:ind w:left="14" w:right="0" w:hanging="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shd w:fill="FEFEFE" w:val="clear"/>
        <w:bidi w:val="0"/>
        <w:spacing w:before="0" w:after="0"/>
        <w:ind w:left="14" w:right="0" w:hanging="1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w:t>
      </w:r>
    </w:p>
    <w:p>
      <w:pPr>
        <w:pStyle w:val="TextBody"/>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14" w:right="0" w:hanging="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https://www.facebook.com/bitfarms/</w:t>
        <w:br/>
        <w:t>https://twitter.com/Bitfarms_io</w:t>
        <w:br/>
        <w:t>https://www.instagram.com/bitfarms/</w:t>
        <w:br/>
        <w:t>https://www.linkedin.com/company/bitfarms/</w:t>
      </w:r>
    </w:p>
    <w:p>
      <w:pPr>
        <w:pStyle w:val="TextBody"/>
        <w:shd w:fill="FEFEFE" w:val="clear"/>
        <w:bidi w:val="0"/>
        <w:spacing w:before="0" w:after="0"/>
        <w:ind w:left="14" w:right="0" w:hanging="14"/>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Krumme (Bitfarms)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+1 786-671-5638</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tkrumme@bitfarms.com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Barnard (LHA)</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+1 415-433-3777</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Investors@bitfarms.com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Agency</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Khushboo Chaudhary</w:t>
        <w:br/>
        <w:t>+1 646-373-9946</w:t>
        <w:br/>
      </w:r>
      <w:r>
        <w:rPr>
          <w:rFonts w:ascii="Times New Roman;Times;Serif" w:hAnsi="Times New Roman;Times;Serif"/>
          <w:b/>
          <w:i w:val="false"/>
          <w:caps w:val="false"/>
          <w:smallCaps w:val="false"/>
          <w:sz w:val="20"/>
        </w:rPr>
        <w:t>mediarelations@bitfarms.com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Québec Media: Tact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Louis-Martin Leclerc</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+1 418-693-2425</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lmleclerc@tactconseil.ca</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537</Words>
  <Characters>3326</Characters>
  <CharactersWithSpaces>3935</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