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month of December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06"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December 14,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December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100"/>
        <w:spacing w:after="0"/>
        <w:tabs>
          <w:tab w:leader="none" w:pos="76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2022</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8"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December 14, 2022.</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December 14,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 &amp; Director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Bitfarms Receives NASDAQ Notification Regarding Minimum Bid Price Deficiency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Toronto, Ontario and Brossard, Québec (December 14,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on December 13, 2022 it received a written notification (the “</w:t>
      </w:r>
      <w:r>
        <w:rPr>
          <w:rFonts w:ascii="Arial" w:cs="Arial" w:eastAsia="Arial" w:hAnsi="Arial"/>
          <w:sz w:val="18"/>
          <w:szCs w:val="18"/>
          <w:b w:val="1"/>
          <w:bCs w:val="1"/>
          <w:color w:val="auto"/>
        </w:rPr>
        <w:t>Notification Letter</w:t>
      </w:r>
      <w:r>
        <w:rPr>
          <w:rFonts w:ascii="Arial" w:cs="Arial" w:eastAsia="Arial" w:hAnsi="Arial"/>
          <w:sz w:val="18"/>
          <w:szCs w:val="18"/>
          <w:color w:val="auto"/>
        </w:rPr>
        <w:t>”) from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indicating that, for the last thirty consecutive business days, the bid price for the Company’s common shares (the “</w:t>
      </w:r>
      <w:r>
        <w:rPr>
          <w:rFonts w:ascii="Arial" w:cs="Arial" w:eastAsia="Arial" w:hAnsi="Arial"/>
          <w:sz w:val="18"/>
          <w:szCs w:val="18"/>
          <w:b w:val="1"/>
          <w:bCs w:val="1"/>
          <w:color w:val="auto"/>
        </w:rPr>
        <w:t>Shares</w:t>
      </w:r>
      <w:r>
        <w:rPr>
          <w:rFonts w:ascii="Arial" w:cs="Arial" w:eastAsia="Arial" w:hAnsi="Arial"/>
          <w:sz w:val="18"/>
          <w:szCs w:val="18"/>
          <w:color w:val="auto"/>
        </w:rPr>
        <w:t>”) had closed below the minimum US$1.00 per share requirement for continued listing on Nasdaq under Nasdaq Listing Rule 5550(a)(2) (the “</w:t>
      </w:r>
      <w:r>
        <w:rPr>
          <w:rFonts w:ascii="Arial" w:cs="Arial" w:eastAsia="Arial" w:hAnsi="Arial"/>
          <w:sz w:val="18"/>
          <w:szCs w:val="18"/>
          <w:b w:val="1"/>
          <w:bCs w:val="1"/>
          <w:color w:val="auto"/>
        </w:rPr>
        <w:t>Minimum Bid Price</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w:t>
      </w:r>
      <w:r>
        <w:rPr>
          <w:rFonts w:ascii="Arial" w:cs="Arial" w:eastAsia="Arial" w:hAnsi="Arial"/>
          <w:sz w:val="18"/>
          <w:szCs w:val="18"/>
          <w:color w:val="auto"/>
        </w:rPr>
        <w:t>”).</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accordance with Nasdaq Listing Rule 5810(c)(3)(A), the Company has been provided an initial period of 180 calendar days, or until June 12, 2023 (the “</w:t>
      </w:r>
      <w:r>
        <w:rPr>
          <w:rFonts w:ascii="Arial" w:cs="Arial" w:eastAsia="Arial" w:hAnsi="Arial"/>
          <w:sz w:val="18"/>
          <w:szCs w:val="18"/>
          <w:b w:val="1"/>
          <w:bCs w:val="1"/>
          <w:color w:val="auto"/>
        </w:rPr>
        <w:t>Compliance Deadline</w:t>
      </w:r>
      <w:r>
        <w:rPr>
          <w:rFonts w:ascii="Arial" w:cs="Arial" w:eastAsia="Arial" w:hAnsi="Arial"/>
          <w:sz w:val="18"/>
          <w:szCs w:val="18"/>
          <w:color w:val="auto"/>
        </w:rPr>
        <w:t>”), to regain compliance. The letter states that the Nasdaq staff will provide written notification that the Company has achieved compliance with Rule 5550(a)(2) if at any time before June 12, 2023, the bid price of the Company’s Shares closes at US$1.00 per share or more for a minimum of ten consecutive business days. The Nasdaq letter is only a notification of deficiency and has no immediate effect on the listing or trading of the Company’s Shares and the Shares will continue to trade on Nasdaq under the symbol “BITF.” The Company’s Shares are also listed on the Toronto Stock Exchange and the Notification Letter does not affect the Company’s compliance status with such listing nor does it affect the Company’s business operations or financial condition.</w:t>
      </w:r>
    </w:p>
    <w:p>
      <w:pPr>
        <w:spacing w:after="0" w:line="19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 intends to continually monitor the bid price of its Shares and, to the extent necessary, evaluate available options to regain compliance with Nasdaq’s minimum bid price rule within the compliance period. If the Company does not regain compliance with Rule 5550(a)(2) by June 12, 2023, the Company may be eligible for an additional 180 calendar day compliance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712343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accelerated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097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14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Bitfarms has 10 mining facilities in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331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Company’s efforts to regain compliance with the Minimum Bid Price Requirement,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the regulatory environment for cryptocurrency in the applicable jurisdictions, statements regarding the availability and implementation of remedial actions to regain compliance with the Minimum Bid Price Requirement, the availability of any extensions to the Compliance Deadline and the conditions to any such extension that may be imposed by Nasdaq, and the Company’s right to appeal any Nasdaq delisting order.</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line="283" w:lineRule="auto"/>
        <w:rPr>
          <w:sz w:val="20"/>
          <w:szCs w:val="20"/>
          <w:color w:val="auto"/>
        </w:rPr>
      </w:pPr>
      <w:r>
        <w:rPr>
          <w:rFonts w:ascii="Arial" w:cs="Arial" w:eastAsia="Arial" w:hAnsi="Arial"/>
          <w:sz w:val="16"/>
          <w:szCs w:val="16"/>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volatility in the trading price of the Shares, due at least in part to the correlation between the trading prices of Bitcoin and the trading prices of Bitcoin mining companies and other factors unrelated to the Company’s operating performance;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share dilution resulting from the ATM Program and from other equity issuances.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color w:val="auto"/>
        </w:rPr>
        <w:t>;</w:t>
      </w:r>
      <w:r>
        <w:rPr>
          <w:rFonts w:ascii="Arial" w:cs="Arial" w:eastAsia="Arial" w:hAnsi="Arial"/>
          <w:sz w:val="16"/>
          <w:szCs w:val="16"/>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Arial" w:cs="Arial" w:eastAsia="Arial" w:hAnsi="Arial"/>
          <w:sz w:val="16"/>
          <w:szCs w:val="16"/>
          <w:u w:val="single" w:color="auto"/>
          <w:color w:val="auto"/>
          <w:highlight w:val="white"/>
        </w:rPr>
        <w:t>www.SEDAR.com</w:t>
      </w:r>
      <w:r>
        <w:rPr>
          <w:rFonts w:ascii="Arial" w:cs="Arial" w:eastAsia="Arial" w:hAnsi="Arial"/>
          <w:sz w:val="16"/>
          <w:szCs w:val="16"/>
          <w:color w:val="auto"/>
          <w:highlight w:val="white"/>
        </w:rPr>
        <w:t xml:space="preserve"> (which are also available on the website of the U.S. Securities and Exchange Commission at </w:t>
      </w:r>
      <w:r>
        <w:rPr>
          <w:rFonts w:ascii="Arial" w:cs="Arial" w:eastAsia="Arial" w:hAnsi="Arial"/>
          <w:sz w:val="16"/>
          <w:szCs w:val="16"/>
          <w:u w:val="single" w:color="auto"/>
          <w:color w:val="auto"/>
          <w:highlight w:val="white"/>
        </w:rPr>
        <w:t>www.sec.gov</w:t>
      </w:r>
      <w:r>
        <w:rPr>
          <w:rFonts w:ascii="Arial" w:cs="Arial" w:eastAsia="Arial" w:hAnsi="Arial"/>
          <w:sz w:val="16"/>
          <w:szCs w:val="16"/>
          <w:color w:val="auto"/>
          <w:highlight w:val="white"/>
        </w:rPr>
        <w:t>),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126365</wp:posOffset>
            </wp:positionV>
            <wp:extent cx="71234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+1 339-234-3332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2022-12-14T15:09:46Z</dcterms:created>
  <dcterms:modified xsi:type="dcterms:W3CDTF">2022-12-14T15:09:46Z</dcterms:modified>
</cp:coreProperties>
</file>