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a028018401-6k_bitfarms.htm"/>
      <w:bookmarkStart w:id="1" w:name="ksea0280184016k_bitfarms"/>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9" w:after="9"/>
        <w:ind w:left="9" w:right="9" w:hanging="0"/>
        <w:jc w:val="left"/>
        <w:rPr>
          <w:caps w:val="false"/>
          <w:smallCaps w:val="false"/>
        </w:rPr>
      </w:pPr>
      <w:r>
        <w:rPr>
          <w:caps w:val="false"/>
          <w:smallCaps w:val="false"/>
        </w:rPr>
        <w:t> </w:t>
      </w:r>
    </w:p>
    <w:p>
      <w:pPr>
        <w:pStyle w:val="TextBody"/>
        <w:bidi w:val="0"/>
        <w:spacing w:before="85" w:after="85"/>
        <w:ind w:left="979" w:right="979"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ind w:left="979" w:right="979"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1" w:after="1"/>
        <w:ind w:left="979" w:right="9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10" w:after="10"/>
        <w:ind w:left="10" w:right="10" w:hanging="0"/>
        <w:jc w:val="left"/>
        <w:rPr>
          <w:caps w:val="false"/>
          <w:smallCaps w:val="false"/>
        </w:rPr>
      </w:pPr>
      <w:r>
        <w:rPr>
          <w:caps w:val="false"/>
          <w:smallCaps w:val="false"/>
        </w:rPr>
        <w:t> </w:t>
      </w:r>
    </w:p>
    <w:p>
      <w:pPr>
        <w:pStyle w:val="TextBody"/>
        <w:bidi w:val="0"/>
        <w:spacing w:before="60" w:after="60"/>
        <w:ind w:left="10" w:right="10" w:hanging="0"/>
        <w:jc w:val="left"/>
        <w:rPr>
          <w:bdr w:val="single" w:sz="12" w:space="1" w:color="000000"/>
        </w:rPr>
      </w:pPr>
      <w:r>
        <w:rPr>
          <w:bdr w:val="single" w:sz="12" w:space="1" w:color="000000"/>
        </w:rPr>
        <w:t> </w:t>
      </w:r>
    </w:p>
    <w:p>
      <w:pPr>
        <w:pStyle w:val="TextBody"/>
        <w:bidi w:val="0"/>
        <w:spacing w:before="7" w:after="7"/>
        <w:ind w:left="7" w:right="7" w:hanging="0"/>
        <w:jc w:val="left"/>
        <w:rPr>
          <w:caps w:val="false"/>
          <w:smallCaps w:val="false"/>
        </w:rPr>
      </w:pPr>
      <w:r>
        <w:rPr>
          <w:caps w:val="false"/>
          <w:smallCaps w:val="false"/>
        </w:rPr>
        <w:t> </w:t>
      </w:r>
    </w:p>
    <w:p>
      <w:pPr>
        <w:pStyle w:val="TextBody"/>
        <w:bidi w:val="0"/>
        <w:spacing w:before="85" w:after="85"/>
        <w:ind w:left="979" w:right="978"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11" w:after="11"/>
        <w:ind w:left="11" w:right="11" w:hanging="0"/>
        <w:jc w:val="left"/>
        <w:rPr/>
      </w:pPr>
      <w:r>
        <w:rPr/>
      </w:r>
    </w:p>
    <w:p>
      <w:pPr>
        <w:pStyle w:val="TextBody"/>
        <w:bidi w:val="0"/>
        <w:spacing w:before="60" w:after="60"/>
        <w:jc w:val="left"/>
        <w:rPr>
          <w:bdr w:val="single" w:sz="12" w:space="1" w:color="000000"/>
        </w:rPr>
      </w:pPr>
      <w:r>
        <w:rPr>
          <w:bdr w:val="single" w:sz="12" w:space="1" w:color="000000"/>
        </w:rPr>
        <w:t> </w:t>
      </w:r>
    </w:p>
    <w:p>
      <w:pPr>
        <w:pStyle w:val="TextBody"/>
        <w:bidi w:val="0"/>
        <w:ind w:left="11" w:right="11" w:hanging="0"/>
        <w:jc w:val="left"/>
        <w:rPr>
          <w:caps w:val="false"/>
          <w:smallCaps w:val="false"/>
        </w:rPr>
      </w:pPr>
      <w:r>
        <w:rPr>
          <w:caps w:val="false"/>
          <w:smallCaps w:val="false"/>
        </w:rPr>
        <w:t> </w:t>
      </w:r>
    </w:p>
    <w:p>
      <w:pPr>
        <w:pStyle w:val="TextBody"/>
        <w:bidi w:val="0"/>
        <w:spacing w:before="92" w:after="92"/>
        <w:ind w:left="2907" w:right="290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ind w:left="979" w:right="9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1" w:after="1"/>
        <w:ind w:left="1" w:right="1" w:hanging="0"/>
        <w:jc w:val="left"/>
        <w:rPr>
          <w:caps w:val="false"/>
          <w:smallCaps w:val="false"/>
        </w:rPr>
      </w:pPr>
      <w:r>
        <w:rPr>
          <w:caps w:val="false"/>
          <w:smallCaps w:val="false"/>
        </w:rPr>
        <w:t> </w:t>
      </w:r>
    </w:p>
    <w:p>
      <w:pPr>
        <w:pStyle w:val="TextBody"/>
        <w:bidi w:val="0"/>
        <w:ind w:left="979" w:right="9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March 2026</w:t>
      </w:r>
    </w:p>
    <w:p>
      <w:pPr>
        <w:pStyle w:val="TextBody"/>
        <w:bidi w:val="0"/>
        <w:spacing w:before="10" w:after="10"/>
        <w:ind w:left="10" w:right="10" w:hanging="0"/>
        <w:jc w:val="left"/>
        <w:rPr/>
      </w:pPr>
      <w:r>
        <w:rPr/>
      </w:r>
    </w:p>
    <w:p>
      <w:pPr>
        <w:pStyle w:val="TextBody"/>
        <w:bidi w:val="0"/>
        <w:spacing w:before="60" w:after="60"/>
        <w:jc w:val="left"/>
        <w:rPr>
          <w:bdr w:val="single" w:sz="12" w:space="1" w:color="000000"/>
        </w:rPr>
      </w:pPr>
      <w:r>
        <w:rPr>
          <w:bdr w:val="single" w:sz="12" w:space="1" w:color="000000"/>
        </w:rPr>
        <w:t> </w:t>
      </w:r>
    </w:p>
    <w:p>
      <w:pPr>
        <w:pStyle w:val="TextBody"/>
        <w:bidi w:val="0"/>
        <w:spacing w:before="92" w:after="92"/>
        <w:ind w:left="979" w:right="97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001-40370</w:t>
      </w:r>
    </w:p>
    <w:p>
      <w:pPr>
        <w:pStyle w:val="TextBody"/>
        <w:bidi w:val="0"/>
        <w:spacing w:before="60" w:after="60"/>
        <w:ind w:left="979" w:right="977" w:hanging="0"/>
        <w:jc w:val="left"/>
        <w:rPr>
          <w:bdr w:val="single" w:sz="12" w:space="1" w:color="000000"/>
        </w:rPr>
      </w:pPr>
      <w:r>
        <w:rPr>
          <w:bdr w:val="single" w:sz="12" w:space="1" w:color="000000"/>
        </w:rPr>
        <w:t> </w:t>
      </w:r>
    </w:p>
    <w:p>
      <w:pPr>
        <w:pStyle w:val="TextBody"/>
        <w:bidi w:val="0"/>
        <w:spacing w:before="7" w:after="7"/>
        <w:ind w:left="7" w:right="7" w:hanging="0"/>
        <w:jc w:val="left"/>
        <w:rPr>
          <w:caps w:val="false"/>
          <w:smallCaps w:val="false"/>
        </w:rPr>
      </w:pPr>
      <w:r>
        <w:rPr>
          <w:caps w:val="false"/>
          <w:smallCaps w:val="false"/>
        </w:rPr>
        <w:t> </w:t>
      </w:r>
    </w:p>
    <w:p>
      <w:pPr>
        <w:pStyle w:val="TextBody"/>
        <w:bidi w:val="0"/>
        <w:spacing w:before="85" w:after="85"/>
        <w:ind w:left="978" w:right="979"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BITFARMS LTD.</w:t>
      </w:r>
    </w:p>
    <w:p>
      <w:pPr>
        <w:pStyle w:val="TextBody"/>
        <w:bidi w:val="0"/>
        <w:ind w:left="978" w:right="979"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ind w:left="978" w:right="979" w:hanging="0"/>
        <w:jc w:val="center"/>
        <w:rPr>
          <w:caps w:val="false"/>
          <w:smallCaps w:val="false"/>
        </w:rPr>
      </w:pPr>
      <w:r>
        <w:rPr>
          <w:caps w:val="false"/>
          <w:smallCaps w:val="false"/>
        </w:rPr>
        <w:t> </w:t>
      </w:r>
    </w:p>
    <w:p>
      <w:pPr>
        <w:pStyle w:val="TextBody"/>
        <w:bidi w:val="0"/>
        <w:spacing w:before="60" w:after="60"/>
        <w:jc w:val="left"/>
        <w:rPr>
          <w:bdr w:val="single" w:sz="12" w:space="1" w:color="000000"/>
        </w:rPr>
      </w:pPr>
      <w:r>
        <w:rPr>
          <w:bdr w:val="single" w:sz="12" w:space="1" w:color="000000"/>
        </w:rPr>
        <w:t> </w:t>
      </w:r>
    </w:p>
    <w:p>
      <w:pPr>
        <w:pStyle w:val="TextBody"/>
        <w:bidi w:val="0"/>
        <w:spacing w:before="0" w:after="283"/>
        <w:jc w:val="left"/>
        <w:rPr/>
      </w:pPr>
      <w:r>
        <w:rPr/>
      </w:r>
    </w:p>
    <w:p>
      <w:pPr>
        <w:pStyle w:val="TextBody"/>
        <w:bidi w:val="0"/>
        <w:spacing w:before="92" w:after="92"/>
        <w:ind w:left="979" w:right="9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 Yonge Street, Suite 1601, Toronto, Ontario, Canada M5C 1T4</w:t>
      </w:r>
    </w:p>
    <w:p>
      <w:pPr>
        <w:pStyle w:val="TextBody"/>
        <w:bidi w:val="0"/>
        <w:spacing w:before="1" w:after="1"/>
        <w:ind w:left="979" w:right="979"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2" w:space="1" w:color="000000"/>
        </w:rPr>
      </w:pPr>
      <w:r>
        <w:rPr>
          <w:bdr w:val="single" w:sz="12" w:space="1" w:color="000000"/>
        </w:rPr>
        <w:t> </w:t>
      </w:r>
    </w:p>
    <w:p>
      <w:pPr>
        <w:pStyle w:val="TextBody"/>
        <w:bidi w:val="0"/>
        <w:spacing w:before="92" w:after="92"/>
        <w:ind w:left="160" w:right="15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jc w:val="left"/>
        <w:rPr>
          <w:caps w:val="false"/>
          <w:smallCaps w:val="false"/>
        </w:rPr>
      </w:pPr>
      <w:r>
        <w:rPr>
          <w:caps w:val="false"/>
          <w:smallCaps w:val="false"/>
        </w:rPr>
        <w:t> </w:t>
      </w:r>
    </w:p>
    <w:p>
      <w:pPr>
        <w:pStyle w:val="TextBody"/>
        <w:bidi w:val="0"/>
        <w:ind w:left="1"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w:t>
        <w:tab/>
        <w:t>Form 40-F ☒</w:t>
      </w:r>
    </w:p>
    <w:p>
      <w:pPr>
        <w:pStyle w:val="TextBody"/>
        <w:bidi w:val="0"/>
        <w:spacing w:before="9" w:after="9"/>
        <w:ind w:left="9" w:right="9" w:hanging="0"/>
        <w:jc w:val="left"/>
        <w:rPr>
          <w:caps w:val="false"/>
          <w:smallCaps w:val="false"/>
        </w:rPr>
      </w:pPr>
      <w:r>
        <w:rPr>
          <w:caps w:val="false"/>
          <w:smallCaps w:val="false"/>
        </w:rPr>
        <w:t> </w:t>
      </w:r>
    </w:p>
    <w:p>
      <w:pPr>
        <w:pStyle w:val="TextBody"/>
        <w:bidi w:val="0"/>
        <w:spacing w:before="9" w:after="9"/>
        <w:ind w:left="9" w:right="9" w:hanging="0"/>
        <w:jc w:val="left"/>
        <w:rPr>
          <w:caps w:val="false"/>
          <w:smallCaps w:val="false"/>
        </w:rPr>
      </w:pPr>
      <w:r>
        <w:rPr>
          <w:caps w:val="false"/>
          <w:smallCaps w:val="false"/>
        </w:rPr>
        <w:t> </w:t>
      </w:r>
    </w:p>
    <w:p>
      <w:pPr>
        <w:pStyle w:val="TextBody"/>
        <w:bidi w:val="0"/>
        <w:spacing w:before="60" w:after="240"/>
        <w:ind w:left="9" w:right="9" w:hanging="0"/>
        <w:jc w:val="left"/>
        <w:rPr>
          <w:bdr w:val="single" w:sz="8" w:space="1" w:color="000000"/>
        </w:rPr>
      </w:pPr>
      <w:r>
        <w:rPr>
          <w:bdr w:val="single" w:sz="8" w:space="1" w:color="000000"/>
        </w:rPr>
        <w:t> </w:t>
      </w:r>
    </w:p>
    <w:p>
      <w:pPr>
        <w:pStyle w:val="TextBody"/>
        <w:bidi w:val="0"/>
        <w:spacing w:before="9" w:after="9"/>
        <w:ind w:left="9" w:right="9"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160" w:right="569" w:hanging="0"/>
        <w:jc w:val="left"/>
        <w:rPr>
          <w:caps w:val="false"/>
          <w:smallCaps w:val="false"/>
        </w:rPr>
      </w:pPr>
      <w:r>
        <w:rPr>
          <w:caps w:val="false"/>
          <w:smallCaps w:val="false"/>
        </w:rPr>
        <w:t> </w:t>
      </w:r>
    </w:p>
    <w:p>
      <w:pPr>
        <w:pStyle w:val="TextBody"/>
        <w:bidi w:val="0"/>
        <w:spacing w:before="80" w:after="80"/>
        <w:ind w:left="979" w:right="97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jc w:val="left"/>
        <w:rPr>
          <w:caps w:val="false"/>
          <w:smallCaps w:val="false"/>
        </w:rPr>
      </w:pPr>
      <w:r>
        <w:rPr>
          <w:caps w:val="false"/>
          <w:smallCaps w:val="false"/>
        </w:rPr>
        <w:t> </w:t>
      </w:r>
    </w:p>
    <w:p>
      <w:pPr>
        <w:pStyle w:val="TextBody"/>
        <w:bidi w:val="0"/>
        <w:ind w:left="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ind w:left="160" w:right="0" w:hanging="0"/>
        <w:jc w:val="left"/>
        <w:rPr>
          <w:caps w:val="false"/>
          <w:smallCaps w:val="false"/>
        </w:rPr>
      </w:pPr>
      <w:r>
        <w:rPr>
          <w:caps w:val="false"/>
          <w:smallCaps w:val="false"/>
        </w:rPr>
        <w:t> </w:t>
      </w:r>
    </w:p>
    <w:tbl>
      <w:tblPr>
        <w:tblW w:w="4490" w:type="dxa"/>
        <w:jc w:val="left"/>
        <w:tblInd w:w="0" w:type="dxa"/>
        <w:tblLayout w:type="fixed"/>
        <w:tblCellMar>
          <w:top w:w="0" w:type="dxa"/>
          <w:left w:w="0" w:type="dxa"/>
          <w:bottom w:w="0" w:type="dxa"/>
          <w:right w:w="0" w:type="dxa"/>
        </w:tblCellMar>
      </w:tblPr>
      <w:tblGrid>
        <w:gridCol w:w="2000"/>
        <w:gridCol w:w="320"/>
        <w:gridCol w:w="545"/>
        <w:gridCol w:w="1625"/>
      </w:tblGrid>
      <w:tr>
        <w:trPr/>
        <w:tc>
          <w:tcPr>
            <w:tcW w:w="2000" w:type="dxa"/>
            <w:tcBorders/>
            <w:vAlign w:val="center"/>
          </w:tcPr>
          <w:p>
            <w:pPr>
              <w:pStyle w:val="TableContents"/>
              <w:bidi w:val="0"/>
              <w:spacing w:before="0" w:after="283"/>
              <w:jc w:val="left"/>
              <w:rPr/>
            </w:pPr>
            <w:r>
              <w:rPr/>
              <w:t> </w:t>
            </w:r>
          </w:p>
        </w:tc>
        <w:tc>
          <w:tcPr>
            <w:tcW w:w="2490" w:type="dxa"/>
            <w:gridSpan w:val="3"/>
            <w:tcBorders/>
            <w:vAlign w:val="center"/>
          </w:tcPr>
          <w:p>
            <w:pPr>
              <w:pStyle w:val="TableContents"/>
              <w:bidi w:val="0"/>
              <w:spacing w:before="0" w:after="283"/>
              <w:jc w:val="left"/>
              <w:rPr>
                <w:b/>
              </w:rPr>
            </w:pPr>
            <w:r>
              <w:rPr>
                <w:b/>
              </w:rPr>
              <w:t>BITFARMS LTD.</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170" w:type="dxa"/>
            <w:gridSpan w:val="2"/>
            <w:tcBorders>
              <w:bottom w:val="single" w:sz="12" w:space="0" w:color="000000"/>
            </w:tcBorders>
            <w:tcMar>
              <w:bottom w:w="28" w:type="dxa"/>
            </w:tcMar>
            <w:vAlign w:val="center"/>
          </w:tcPr>
          <w:p>
            <w:pPr>
              <w:pStyle w:val="TableContents"/>
              <w:bidi w:val="0"/>
              <w:spacing w:before="0" w:after="283"/>
              <w:jc w:val="left"/>
              <w:rPr>
                <w:i/>
                <w:sz w:val="20"/>
              </w:rPr>
            </w:pPr>
            <w:r>
              <w:rPr>
                <w:i/>
                <w:sz w:val="20"/>
              </w:rPr>
              <w:t xml:space="preserve">/s/  Rachel Silverstein </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625" w:type="dxa"/>
            <w:tcBorders/>
            <w:vAlign w:val="center"/>
          </w:tcPr>
          <w:p>
            <w:pPr>
              <w:pStyle w:val="TableContents"/>
              <w:bidi w:val="0"/>
              <w:spacing w:before="0" w:after="283"/>
              <w:jc w:val="left"/>
              <w:rPr/>
            </w:pPr>
            <w:r>
              <w:rPr/>
              <w:t> </w:t>
            </w:r>
            <w:r>
              <w:rPr>
                <w:sz w:val="20"/>
              </w:rPr>
              <w:t xml:space="preserve">Rachel Silverstein </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625" w:type="dxa"/>
            <w:tcBorders/>
            <w:vAlign w:val="center"/>
          </w:tcPr>
          <w:p>
            <w:pPr>
              <w:pStyle w:val="TableContents"/>
              <w:bidi w:val="0"/>
              <w:spacing w:before="0" w:after="283"/>
              <w:jc w:val="left"/>
              <w:rPr/>
            </w:pPr>
            <w:r>
              <w:rPr/>
              <w:t> </w:t>
            </w:r>
            <w:r>
              <w:rPr>
                <w:sz w:val="20"/>
              </w:rPr>
              <w:t xml:space="preserve">General Counsel </w:t>
            </w:r>
          </w:p>
        </w:tc>
      </w:tr>
      <w:tr>
        <w:trPr/>
        <w:tc>
          <w:tcPr>
            <w:tcW w:w="2000" w:type="dxa"/>
            <w:tcBorders/>
            <w:vAlign w:val="center"/>
          </w:tcPr>
          <w:p>
            <w:pPr>
              <w:pStyle w:val="TableContents"/>
              <w:bidi w:val="0"/>
              <w:spacing w:before="0" w:after="283"/>
              <w:jc w:val="left"/>
              <w:rPr/>
            </w:pPr>
            <w:r>
              <w:rPr/>
              <w:t>Date: March 5, 2026</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r>
    </w:tbl>
    <w:p>
      <w:pPr>
        <w:pStyle w:val="TextBody"/>
        <w:bidi w:val="0"/>
        <w:spacing w:before="6" w:after="6"/>
        <w:ind w:left="6" w:right="6" w:hanging="0"/>
        <w:jc w:val="left"/>
        <w:rPr>
          <w:caps w:val="false"/>
          <w:smallCaps w:val="false"/>
        </w:rPr>
      </w:pPr>
      <w:r>
        <w:rPr>
          <w:caps w:val="false"/>
          <w:smallCaps w:val="false"/>
        </w:rPr>
        <w:t> </w:t>
      </w:r>
    </w:p>
    <w:p>
      <w:pPr>
        <w:pStyle w:val="TextBody"/>
        <w:bidi w:val="0"/>
        <w:ind w:left="16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16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 EXHIBIT INDEX</w:t>
      </w:r>
    </w:p>
    <w:p>
      <w:pPr>
        <w:pStyle w:val="TextBody"/>
        <w:bidi w:val="0"/>
        <w:spacing w:before="2" w:after="2"/>
        <w:ind w:left="2" w:right="2"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980"/>
        <w:gridCol w:w="2885"/>
      </w:tblGrid>
      <w:tr>
        <w:trPr/>
        <w:tc>
          <w:tcPr>
            <w:tcW w:w="980" w:type="dxa"/>
            <w:tcBorders/>
            <w:vAlign w:val="center"/>
          </w:tcPr>
          <w:p>
            <w:pPr>
              <w:pStyle w:val="TableContents"/>
              <w:bidi w:val="0"/>
              <w:spacing w:before="0" w:after="283"/>
              <w:jc w:val="both"/>
              <w:rPr>
                <w:b/>
                <w:sz w:val="20"/>
              </w:rPr>
            </w:pPr>
            <w:r>
              <w:rPr>
                <w:b/>
                <w:sz w:val="20"/>
              </w:rPr>
              <w:t>Exhibits</w:t>
            </w:r>
          </w:p>
        </w:tc>
        <w:tc>
          <w:tcPr>
            <w:tcW w:w="2885" w:type="dxa"/>
            <w:tcBorders/>
            <w:vAlign w:val="center"/>
          </w:tcPr>
          <w:p>
            <w:pPr>
              <w:pStyle w:val="TableContents"/>
              <w:bidi w:val="0"/>
              <w:spacing w:before="0" w:after="283"/>
              <w:jc w:val="both"/>
              <w:rPr/>
            </w:pPr>
            <w:r>
              <w:rPr/>
              <w:t> </w:t>
            </w:r>
          </w:p>
        </w:tc>
      </w:tr>
      <w:tr>
        <w:trPr/>
        <w:tc>
          <w:tcPr>
            <w:tcW w:w="98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pPr>
            <w:r>
              <w:rPr/>
              <w:t> </w:t>
            </w:r>
          </w:p>
        </w:tc>
      </w:tr>
      <w:tr>
        <w:trPr/>
        <w:tc>
          <w:tcPr>
            <w:tcW w:w="980" w:type="dxa"/>
            <w:tcBorders/>
            <w:vAlign w:val="center"/>
          </w:tcPr>
          <w:p>
            <w:pPr>
              <w:pStyle w:val="TableContents"/>
              <w:bidi w:val="0"/>
              <w:spacing w:before="0" w:after="283"/>
              <w:jc w:val="both"/>
              <w:rPr>
                <w:sz w:val="20"/>
              </w:rPr>
            </w:pPr>
            <w:r>
              <w:rPr>
                <w:sz w:val="20"/>
              </w:rPr>
              <w:t>Exhibit No.</w:t>
            </w:r>
          </w:p>
        </w:tc>
        <w:tc>
          <w:tcPr>
            <w:tcW w:w="2885" w:type="dxa"/>
            <w:tcBorders/>
            <w:vAlign w:val="center"/>
          </w:tcPr>
          <w:p>
            <w:pPr>
              <w:pStyle w:val="TableContents"/>
              <w:bidi w:val="0"/>
              <w:spacing w:before="0" w:after="283"/>
              <w:jc w:val="both"/>
              <w:rPr>
                <w:sz w:val="20"/>
              </w:rPr>
            </w:pPr>
            <w:r>
              <w:rPr>
                <w:sz w:val="20"/>
              </w:rPr>
              <w:t>Description</w:t>
            </w:r>
          </w:p>
        </w:tc>
      </w:tr>
      <w:tr>
        <w:trPr/>
        <w:tc>
          <w:tcPr>
            <w:tcW w:w="980" w:type="dxa"/>
            <w:tcBorders/>
            <w:vAlign w:val="center"/>
          </w:tcPr>
          <w:p>
            <w:pPr>
              <w:pStyle w:val="TableContents"/>
              <w:bidi w:val="0"/>
              <w:spacing w:before="0" w:after="283"/>
              <w:jc w:val="both"/>
              <w:rPr/>
            </w:pPr>
            <w:r>
              <w:rPr/>
              <w:t> </w:t>
            </w:r>
          </w:p>
        </w:tc>
        <w:tc>
          <w:tcPr>
            <w:tcW w:w="2885" w:type="dxa"/>
            <w:tcBorders/>
            <w:vAlign w:val="center"/>
          </w:tcPr>
          <w:p>
            <w:pPr>
              <w:pStyle w:val="TableContents"/>
              <w:bidi w:val="0"/>
              <w:spacing w:before="0" w:after="283"/>
              <w:jc w:val="both"/>
              <w:rPr/>
            </w:pPr>
            <w:r>
              <w:rPr/>
              <w:t> </w:t>
            </w:r>
          </w:p>
        </w:tc>
      </w:tr>
      <w:tr>
        <w:trPr/>
        <w:tc>
          <w:tcPr>
            <w:tcW w:w="980" w:type="dxa"/>
            <w:tcBorders/>
            <w:shd w:fill="CCEEFF" w:val="clear"/>
            <w:vAlign w:val="center"/>
          </w:tcPr>
          <w:p>
            <w:pPr>
              <w:pStyle w:val="TableContents"/>
              <w:bidi w:val="0"/>
              <w:spacing w:before="0" w:after="283"/>
              <w:jc w:val="left"/>
              <w:rPr>
                <w:sz w:val="20"/>
              </w:rPr>
            </w:pPr>
            <w:r>
              <w:rPr>
                <w:sz w:val="20"/>
              </w:rPr>
              <w:t>99.1</w:t>
            </w:r>
          </w:p>
        </w:tc>
        <w:tc>
          <w:tcPr>
            <w:tcW w:w="2885" w:type="dxa"/>
            <w:tcBorders/>
            <w:shd w:fill="CCEEFF" w:val="clear"/>
            <w:vAlign w:val="center"/>
          </w:tcPr>
          <w:p>
            <w:pPr>
              <w:pStyle w:val="TableContents"/>
              <w:bidi w:val="0"/>
              <w:spacing w:before="0" w:after="283"/>
              <w:jc w:val="both"/>
              <w:rPr/>
            </w:pPr>
            <w:hyperlink w:anchor="ea028018401ex99-1.htm">
              <w:r>
                <w:rPr>
                  <w:rStyle w:val="InternetLink"/>
                  <w:sz w:val="20"/>
                </w:rPr>
                <w:t>Press Release dated March 5, 2026.</w:t>
              </w:r>
            </w:hyperlink>
          </w:p>
        </w:tc>
      </w:tr>
    </w:tbl>
    <w:p>
      <w:pPr>
        <w:pStyle w:val="TextBody"/>
        <w:bidi w:val="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8018401ex99-1.htm"/>
      <w:bookmarkStart w:id="3" w:name="ksea0280184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7432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4572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Proxy Advisory Firms, Including ISS, Recommend Bitfarms Shareholders Vote FOR U.S. Redomiciliation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Recommendation Highlights Compelling Strategic Rationale for U.S. Redomiciliation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of Directors Encourages Shareholders to Vote FOR the Arrangement Resolution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TORONTO, Ontario and NEW YORK, March 5, 2026</w:t>
      </w:r>
      <w:r>
        <w:rPr>
          <w:rFonts w:ascii="Times New Roman;Times;Serif" w:hAnsi="Times New Roman;Times;Serif"/>
          <w:b w:val="false"/>
          <w:i w:val="false"/>
          <w:caps w:val="false"/>
          <w:smallCaps w:val="false"/>
          <w:sz w:val="20"/>
        </w:rPr>
        <w:t xml:space="preserve"> -- Bitfarms Ltd. (NASDAQ/TSX: BITF) (“Bitfarms” or the “Company”), a North American digital infrastructure and energy company, today announced that the leading independent proxy advisory firms, including Institutional Shareholder Services Inc. (“ISS”), have recommended shareholders vote FOR the special resolution (the “Arrangement Resolution”) to approve Bitfarms’ U.S. redomiciliation (the “U.S. Redomiciliation”) ahead of the Company’s upcoming special meeting of shareholders (the “Meeting”) to be held at 9:00 a.m. (Eastern Time) on March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its report, ISS noted*: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company presents a strong economic rationale for the Redomiciliation: better access to U.S. capital, potential inclusion in additional indices, mitigation of regulatory and political risk, alignment with U.S. shareholder and customer requirements, and the transition from foreign private issuer to domestic SEC filer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Ben Gagnon said, “We are pleased that ISS supports our Board’s unanimous recommendation that shareholders vote to approve our U.S. redomiciliation plan. ISS’s report is an endorsement of the compelling strategic rationale for this transition and the value creation opportunities it will unlock as we complete our transformation from an international Bitcoin miner to a North American digital infrastructure and energy company, Keel Infrastructure. With the Meeting fast approaching, the Board urges shareholders to cast their votes FOR the Arrangement Resolution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 – No Matter How Many Shares You 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Resolution requires approval by at least two-thirds of the votes cast at the Meeting. Shareholders can access the Meeting by visiting https://virtual-meetings.tsxtrust.com/1891 (password: bitfarms2026). The Company has fixed the close of business on February 13, 2026, as the record date for determining those shareholders entitled to receive notice of and to vote at the Meeting. Even if you plan to attend the Meeting, the Company recommends that you vote your shares in advance of the proxy deadline of 9:00 a.m. (Eastern Time) on March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details about how to vote can be found in the management information circular (the “Circular”) and related documents that have been mailed to shareholders, filed with the Canadian securities regulatory authorities and made available under the Company’s SEDAR+ and EDGAR profiles at www.sedarplus.com, and www.sec.gov. The Circular can also be accessed at investor.bitfarms.com/bitfarms-us-redomiciliation.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need assistance or have questions about how to vote your shares, Bitfarms’ proxy solicitation agents are standing by to help. Shareholders in Canada can contact Laurel Hill Advisory Group by phone at 1-877-452-7184 (North American toll free) or 416-304-0211 (outside North America), by texting “INFO” to either number, or by email at assistance@laurelhill.com. Shareholders outside of Canada can contact Innisfree M&amp;A Incorporated by phone at 1-877-687-1871 (for U.S. and Canada toll free) or 412-232-3651 (other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of the U.S. Redomiciliation have been disclosed in further detail in the Circular. Shareholders are encouraged to carefully read the Circular in its entirety.</w:t>
      </w:r>
    </w:p>
    <w:p>
      <w:pPr>
        <w:pStyle w:val="TextBody"/>
        <w:bidi w:val="0"/>
        <w:spacing w:before="0" w:after="0"/>
        <w:ind w:left="0" w:right="0" w:hanging="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155"/>
        <w:gridCol w:w="5855"/>
      </w:tblGrid>
      <w:tr>
        <w:trPr/>
        <w:tc>
          <w:tcPr>
            <w:tcW w:w="155"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pPr>
            <w:r>
              <w:rPr/>
              <w:t>Permission to use quotations was neither sought nor obtained.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Bitfarms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is a North American digital infrastructure and energy company that develops, owns, and operates data centers and energy infrastructure for high-performance computing and next-generation-technology applications, including artificial intelligence. We currently maintain our legacy North American Bitcoin mining operations to fund our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2.1 GW North American energy portfolio is comprised of energized, under development, and pipeline MW, located in established data center clusters, with robust access to power and fiber infrastructure.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is headquartered in New York, NY and Toronto, ON and traded on the Nasdaq and Toronto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about Bitfarms’ events, developments, and online communities: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www.bitfarms.com</w:t>
        <w:br/>
        <w:t>http://x.com/Bitfarms_io</w:t>
        <w:br/>
        <w:t>https://www.linkedin.com/company/bitfarms/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U.S. Redomiciliation, the benefits of the U.S. Redomiciliation, the timing of the Meeting, and other statements regarding future growth, plans and objectives of Bitfarms are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anticipated benefits of the U.S. Redomiciliation, including, but not limited to, expanded access to new capital pools, increased eligibility for index inclusion, strengthened commercial positioning with governmental bodies, utility partners and potential customers, enhanced alignment with U.S. customer requirements for data centers, reduced regulatory and political risk related to critical infrastructure and sensitive-data businesses, greater familiarity of Delaware law to U.S. investors and simplified comparison to other U.S. companies and peers, may not be realized or may not meet the expectations of the Company, may not occur at all, and may have unanticipated costs for the Company; the anticipated benefits of a recommendation of ISS in favor of the Arrangement Resolution may not be realized; failure to obtain required shareholder, and court approval in a timely manner or on conditions acceptable to the Company or the failure of the U.S. Redomiciliation to be completed for any other reasons (or to be completed in a timely manner); incurrence of costs associated with the U.S. Redomiciliation beyond those estimated; unanticipated adverse tax consequences to the Company and Keel Infrastructure in connection with the U.S. Redomiciliation; the impact on the announcement and pendency of the U.S. Redomiciliation on the Company’s business, results of operations and financial conditions; the anticipated benefits of the rebalancing of operations to North America and the North American energy and compute infrastructure strategy may not be realized or the realization of such benefits may be delayed; an inability to apply the Company’s data centers to HPC/AI opportunities on a profitable basis; a failure to secure long-term contracts associated with HPC/AI customers on terms which are economic or at all; the construction and operation of new facilities may not occur as currently planned, or at all; expansion of existing facilities may not materialize as currently anticipated, or at all; the construction and operation of new facilities may not occur as currently planned, or at all; expansion of existing facilities may not materialize as currently anticipated, or at all;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as well as capital market conditions in general; share dilution resulting from equity issuances;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at www.sec.gov), including the Company’s annual information form for the year ended December 31, 2024, management’s discussion &amp; analysis for the year-ended December 31, 2024 and management’s discussion and analysis for the three and nine months ended September 30, 2025.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TSX, Nasdaq, or any other securities exchange or regulatory authority accepts responsibility for the adequacy or accuracy of this release.</w:t>
      </w:r>
    </w:p>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345"/>
        <w:gridCol w:w="1760"/>
      </w:tblGrid>
      <w:tr>
        <w:trPr/>
        <w:tc>
          <w:tcPr>
            <w:tcW w:w="2345" w:type="dxa"/>
            <w:tcBorders/>
            <w:vAlign w:val="center"/>
          </w:tcPr>
          <w:p>
            <w:pPr>
              <w:pStyle w:val="TableContents"/>
              <w:bidi w:val="0"/>
              <w:jc w:val="left"/>
              <w:rPr>
                <w:b/>
                <w:sz w:val="20"/>
              </w:rPr>
            </w:pPr>
            <w:r>
              <w:rPr>
                <w:b/>
                <w:sz w:val="20"/>
              </w:rPr>
              <w:t>Investor Relations Contact:</w:t>
            </w:r>
          </w:p>
          <w:p>
            <w:pPr>
              <w:pStyle w:val="TableContents"/>
              <w:bidi w:val="0"/>
              <w:jc w:val="left"/>
              <w:rPr/>
            </w:pPr>
            <w:r>
              <w:rPr/>
              <w:t> </w:t>
            </w:r>
          </w:p>
          <w:p>
            <w:pPr>
              <w:pStyle w:val="TableContents"/>
              <w:bidi w:val="0"/>
              <w:spacing w:before="0" w:after="283"/>
              <w:jc w:val="left"/>
              <w:rPr>
                <w:sz w:val="20"/>
              </w:rPr>
            </w:pPr>
            <w:r>
              <w:rPr>
                <w:sz w:val="20"/>
              </w:rPr>
              <w:t>Laine Yonker</w:t>
              <w:br/>
            </w:r>
            <w:r>
              <w:rPr>
                <w:rFonts w:ascii="Times New Roman;Times;Serif" w:hAnsi="Times New Roman;Times;Serif"/>
                <w:sz w:val="20"/>
              </w:rPr>
              <w:t>investors@bitfarms.com</w:t>
            </w:r>
          </w:p>
        </w:tc>
        <w:tc>
          <w:tcPr>
            <w:tcW w:w="1760" w:type="dxa"/>
            <w:tcBorders/>
            <w:vAlign w:val="center"/>
          </w:tcPr>
          <w:p>
            <w:pPr>
              <w:pStyle w:val="TableContents"/>
              <w:bidi w:val="0"/>
              <w:jc w:val="left"/>
              <w:rPr>
                <w:b/>
                <w:sz w:val="20"/>
              </w:rPr>
            </w:pPr>
            <w:r>
              <w:rPr>
                <w:b/>
                <w:sz w:val="20"/>
              </w:rPr>
              <w:t>Media Contact:</w:t>
            </w:r>
          </w:p>
          <w:p>
            <w:pPr>
              <w:pStyle w:val="TableContents"/>
              <w:bidi w:val="0"/>
              <w:jc w:val="left"/>
              <w:rPr/>
            </w:pPr>
            <w:r>
              <w:rPr/>
              <w:t> </w:t>
            </w:r>
          </w:p>
          <w:p>
            <w:pPr>
              <w:pStyle w:val="TableContents"/>
              <w:bidi w:val="0"/>
              <w:spacing w:before="0" w:after="283"/>
              <w:jc w:val="left"/>
              <w:rPr>
                <w:sz w:val="20"/>
              </w:rPr>
            </w:pPr>
            <w:r>
              <w:rPr>
                <w:sz w:val="20"/>
              </w:rPr>
              <w:t>Tara Goldstein</w:t>
              <w:br/>
            </w:r>
            <w:r>
              <w:rPr>
                <w:rFonts w:ascii="Times New Roman;Times;Serif" w:hAnsi="Times New Roman;Times;Serif"/>
                <w:sz w:val="20"/>
              </w:rPr>
              <w:t>media@bitfarms.com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1724</Words>
  <Characters>10270</Characters>
  <CharactersWithSpaces>12023</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