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40-F</w:t>
      </w:r>
    </w:p>
    <w:p>
      <w:pPr>
        <w:spacing w:after="0" w:line="225" w:lineRule="exact"/>
        <w:rPr>
          <w:sz w:val="24"/>
          <w:szCs w:val="24"/>
          <w:color w:val="auto"/>
        </w:rPr>
      </w:pPr>
    </w:p>
    <w:p>
      <w:pPr>
        <w:jc w:val="center"/>
        <w:ind w:left="5540" w:right="2260" w:hanging="3268"/>
        <w:spacing w:after="0" w:line="479" w:lineRule="auto"/>
        <w:tabs>
          <w:tab w:leader="none" w:pos="24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 of the Securities Exchange Act of 1934 or</w:t>
      </w:r>
    </w:p>
    <w:p>
      <w:pPr>
        <w:spacing w:after="0" w:line="37" w:lineRule="exact"/>
        <w:rPr>
          <w:rFonts w:ascii="MS PGothic" w:cs="MS PGothic" w:eastAsia="MS PGothic" w:hAnsi="MS PGothic"/>
          <w:sz w:val="18"/>
          <w:szCs w:val="18"/>
          <w:color w:val="auto"/>
        </w:rPr>
      </w:pPr>
    </w:p>
    <w:p>
      <w:pPr>
        <w:ind w:left="2360" w:hanging="201"/>
        <w:spacing w:after="0"/>
        <w:tabs>
          <w:tab w:leader="none" w:pos="2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13(a)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tc>
        <w:tc>
          <w:tcPr>
            <w:tcW w:w="4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tc>
      </w:tr>
      <w:tr>
        <w:trPr>
          <w:trHeight w:val="430"/>
        </w:trPr>
        <w:tc>
          <w:tcPr>
            <w:tcW w:w="30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0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r>
      <w:tr>
        <w:trPr>
          <w:trHeight w:val="453"/>
        </w:trPr>
        <w:tc>
          <w:tcPr>
            <w:tcW w:w="33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356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94"/>
        </w:trPr>
        <w:tc>
          <w:tcPr>
            <w:tcW w:w="3340" w:type="dxa"/>
            <w:vAlign w:val="bottom"/>
            <w:tcBorders>
              <w:top w:val="single" w:sz="8" w:color="auto"/>
            </w:tcBorders>
            <w:gridSpan w:val="2"/>
          </w:tcPr>
          <w:p>
            <w:pPr>
              <w:jc w:val="center"/>
              <w:ind w:lef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(Province or other jurisdiction of</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tcBorders>
              <w:top w:val="single" w:sz="8" w:color="auto"/>
            </w:tcBorders>
            <w:gridSpan w:val="2"/>
          </w:tcPr>
          <w:p>
            <w:pPr>
              <w:jc w:val="center"/>
              <w:ind w:left="4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tcBorders>
              <w:top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1601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 in the United States)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BITF</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annual reports, indicate by check mark the information filed with this Form:</w:t>
      </w:r>
    </w:p>
    <w:p>
      <w:pPr>
        <w:spacing w:after="0" w:line="184" w:lineRule="exact"/>
        <w:rPr>
          <w:sz w:val="24"/>
          <w:szCs w:val="24"/>
          <w:color w:val="auto"/>
        </w:rPr>
      </w:pPr>
    </w:p>
    <w:p>
      <w:pPr>
        <w:ind w:left="1800"/>
        <w:spacing w:after="0" w:line="207" w:lineRule="exact"/>
        <w:tabs>
          <w:tab w:leader="none" w:pos="70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Annual information form</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Audited annual financial statements</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334,153,000 of the Registrant’s common shares were issued and outstanding as of December 31, 2023.</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Ltd. (the “Registrant”) is a Canadian issuer whose common shares are listed on the Toronto Stock Exchange and is eligible to file this annual report (this “Annual Report”) pursuant to Section 12 of the Securities Exchange Act of 1934, as amended (the “Exchange Act”), on Form 40-F pursuant to the U.S.-Canadian Multijurisdictional Disclosure System. The Registrant is a “foreign private issuer” as defined in Rule 3b-4 under the Exchange Act. Equity securities of the Registrant are accordingly exempt from Sections 14(a), 14(b), 14(c), 14(f) and 16 of the Exchange Act pursuant to Rule 3a12-3.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and the exhibits incorporated by reference herein contain forward-looking statements or information (collectively, “forward-looking statements”). All statements, other than statements of historical fact, incorporated by reference are forward-looking information. Any statements that express, or involve discussions as to, expectations, beliefs, plans, objectives, assumptions or future events or performance (often, but not always, through the use of words or phrases including, but not limited to, and including grammatical tense variations of such words as: “may”, “assume”, “anticipates”, “contemplate”, “is expected to”, “estimates”, “intends”, “plans”, “projection”, “could”, “vision”, “goals”, “objective” and “outlook”) are not historical facts and may be forward-looking and may involve estimates, assumptions and uncertainties which could cause actual results or outcomes to differ materially from those expressed in the forward-looking statements. In making these forward-looking statements, the Registrant has assumed that the current market will continue and grow and that the risks listed below will not adversely impact the Registrant.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their nature, forward-looking statements involve numerous assumptions, inherent risks and uncertainties, both general and specific, which contribute to the possibility that the predicted outcomes may not occur or may be delayed. Forward-looking statements may relate to future financial conditions, results of operations, plans, objectives, performance or business developments. These statements speak only as of the date they are made and are based on information currently available and on the then current expectations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risks associated with economic conditions, dependence on management and conflicts of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service debt obligations and maintain flexibility in respect of debt covenants;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in continued growth in blockchain and cryptocurrency usage;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this Annual Report and the exhibits incorporated by reference herein;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Registrant’s control.</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factors which may cause the actual results, performance or achievements of the Registrant to be materially different from any future results, performance or achievements expressed or implied by such forward-looking information include, among others, risks relating to: a Bitcoin halving event; insolvency, bankruptcy or cessation of operations of mining pool operators; reliance on foreign mining pool operators; mining pool agreements being governed by foreign laws; independent mining; indemnification of mining pools; reliance on manufacturing in foreign countries and the importation of equipment into jurisdictions in which the Registrant operates; emerging markets; valuation and price volatility of cryptocurrencies; share price fluctuations; future capital needs and the uncertainty of additional financing and dilution; indebtedness; hedges; global financial conditions; the possibility of Bitcoin mining algorithms transitioning to proof of stake validation; the Registrant’s limited operating history; employee retention and growth; cybersecurity threats and hacking; the limited history of the de-centralized financial system; technological obsolescence and difficulty in obtaining hardware; cryptocurrency network difficulty and the impact of increased global computing power; economic dependence on regulated terms of service and electricity rates; increases in commodity prices or reductions in the availability of such commodities; future profits/losses and production revenues/expenses; fraud and failure of cryptocurrency exchanges, custodians and other trading venues; the costs and demands upon management and the Company’s accounting and finance resources as a result of complying with the laws and regulations affecting public companies; the expense and impact of restatement of the Registrant’s historical financial statements; the lack of comprehensive accounting guidance for cryptocurrencies under IFRS Accounting Standards; a material weakness in internal control over financial reporting and the costs to remediate that material weakness or any future material weaknesses; political conditions and regulations; permits and licenses; server or internet failures; tax consequences; environmental regulations; environmental liability; the adoption of ESG practices and the impacts of climate change; emerging legislation and scrutiny regarding human rights issues; erroneous transactions and human error; facility developments; insurance risks; competition; uncertainty of the acceptance and/or widespread use of cryptocurrencies; hazards associated with high-voltage electricity transmission and industrial operations; corruption; the U.S. Foreign Corrupt Practices Act and similar legislation; political instability; third-party suppliers; the potential of the Registrant being classified as a passive foreign investment company; and pandemic and infectious disease.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description of assumptions used to develop such forward-looking information and a description of additional risk factors that may cause actual results to differ materially from forward-looking information can be found in the Registrant’s disclosure documents, such as the Registrant’s Annual Information Form for the year ended December 31, 2023, dated March 7, 2024, on the SEDAR+ website at www.sedarplus.ca, attached hereto as Exhibit 99.1. Although the Registrant has attempted to identify important factors that could cause actual results to differ materially from those contained in forward-looking information, there may be other factors that cause results not to be as anticipated, estimated or intended.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this Annual Report and the exhibits incorporated by reference herein are expressly qualified by this cautionary statement. The forward-looking statements contained in this Annual Report and the exhibits incorporated by reference herein represents the expectations of the Registrant as of the date of this Annual Report or the applicable exhibit incorporated by reference herein and, accordingly, is subject to change after such date. However, the Registrant expressly disclaims any intention or obligation to update or revise any forward-looking statements, whether as a result of new information, future events or otherwise, except as expressly required by applicable securities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DIFFERENCES IN UNITED STATES AND CANADIAN REPORTING PRACTICES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in accordance with International Financial Reporting Standards as issued by the International Accounting Standards Board (“IFRS Accounting Standards”), and the audit is subject to Public Company Accounting Oversight Board auditing standards. IFRS Accounting Standards differ in certain respects from United States generally accepted accounting principles (“U.S. GAAP”) and from practices prescribed by the Securities and Exchange Commission (the “SEC”). Therefore, the Registrant’s financial statements filed with this Annual Report may not be comparable to financial statements prepared in accordance with U.S. GAAP.</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dollar amounts in this Annual Report are in United States dollars.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Annual Information Form for the year ended December 31, 2023 is attached as Exhibit 99.1 to this Annual Report and is incorporated by reference herein.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AUDITED ANNUAL 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audited annual consolidated financial statements as at and for the years ended December 31, 2023 and 2022, are attached as Exhibit 99.2 to this Annual Report and are incorporated by reference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Registrant’s Management’s Discussion and Analysis for the year ended December 31, 2023 is attached as Exhibit 99.3 to this Annual Report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Annual Report, the Registrant carried out an evaluation, under the supervision of the Registrant’s Chief Executive Officer and Chief Financial Officer, of the effectiveness of the Registrant’s disclosure controls and procedures (as defined in Rules 13a-15(e) and 15d-15(e) of the Exchange Act). Based upon that evaluation and the material weakness in the Registrant’s internal control over financial reporting described below, the Registrant’s Chief Executive Officer and Chief Financial Officer have concluded that, as of the end of the period covered by this Annual Report, the Registrant’s disclosure controls and procedures were not effective to give reasonable assurance that information required to be disclosed by the Registrant in reports that it files or submits under the Exchange Act is (i) recorded, processed, summarized and reported within the time periods specified in SEC rules and forms, and (ii) accumulated and communicated to the Registrant’s management, including its principal executive officer and principal financial officer, to allow timely decisions regarding required disclosure, in each case, because of the material weakness in its internal control over financial reporting, which is further discussed below.</w:t>
      </w:r>
    </w:p>
    <w:p>
      <w:pPr>
        <w:spacing w:after="0" w:line="18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Registrant, under the supervision of the Registrant’s Chief Executive Officer and Chief Financial Officer, is responsible for establishing and maintaining an adequate system of “internal control over financial reporting” as defined in Rules 13a-15(f) and 15d-15(f) under the Exchange Act. Internal control over financial reporting is designed to provide reasonable assurance regarding the reliability of financial reporting and the preparation of financial statements for external purposes in accordance with IFRS Accounting Standards. Management, including the Chief Executive Officer and the Chief Financial Officer, has evaluated the effectiveness of the Registrant’s internal control over financial reporting in accordance with Internal Control - Integrated Framework (2013) issued by the Committee of Sponsoring Organizations of the Treadway Commission (“COSO”). Based on this assessment, management, including the Chief Executive Officer and the Chief Financial Officer, concluded that the Registrant’s internal control over financial reporting was not effective as of December 31, 2023, as a result of a material weakness identified in the Registrant’s internal control over financial reporting, which is further described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Registrant’s annual or interim financial statements will not be prevented or detected on a timely basis. In conjunction with the preparation of the Registrant’s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Management has determined that the control over accounting for complex financing transactions did not operate effectively in 2021 as the warrants issued in 2021 should have been classified as a financial liability and accounted for at fair value through profit and loss, and not as equity instruments. The restatement to correct the classification and subsequent accounting for those warrants impacted the Registrant’s consolidated financial statements for the year ended December 31, 2022, which has been reflected in the restated comparative periods (including an opening balance sheet as of January 1, 2022) presented in the consolidated financial statements for the year ended December 31, 2023. Management considers these restatements to constitute a material weakness that requires remediation, and management is in the process of implementing remediation measures to address the material weakness.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Registrant’s remediation efforts to date comprise expanding the finance team to include more Chartered Professional Accountants with technical expertise and experience in evaluating more complex areas of IFRS, involving the Company's legal counsel on evaluating complex agreements involving financial instruments and engaging with external third-party consultants to assist with assessing the accounting for complex financial instruments and review of financial statements. Management’s efforts are ongoing and its remediation plan is expected to be completed during 2024. If these remedial measures are insufficient to address the material weakness described above, or are not implemented timely, or additional deficiencies arise in the future, material misstatements in the Registrant’s interim or annual financial statements may occur in the future and could have the effects described in the “Risk Factors” section of the Registrant’s Management’s Discussion and Analysis for the year ended December 31, 2023, which is attached as Exhibit 99.3 to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described above, no change occurred in the Registrant’s internal control over financial reporting during the fiscal year ended December 31, 2023 that has materially affected, or is reasonably likely to materially affect,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Jumpstart Our Business Startups Act, “emerging growth companies” are exempt from Section 404(b) of the Sarbanes-Oxley Act of 2002, which generally requires that a public company’s registered public accounting firm provide an attestation report relating to management’s assessment of internal control over financial reporting. As of December 31, 2023, the Registrant qualifies as an “emerging growth company” and, therefore, has not included in, or incorporated by reference into, this Annual Report such an attestation report as of the end of the period covered by this Annual Report.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NOTICES PURSUANT TO REGULATION BTR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was not required by Rule 104 of Regulation BTR to send any notices to any of its directors or executive officers during the fiscal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Audit Committee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a separately designated standing Audit Committee established for the purpose of overseeing the accounting and financial reporting processes of the Registrant and audits of the financial statements of the Registrant in accordance with Section 3(a)(58)(A) of the Exchange Act and Rule 5602(c) of the NASDAQ Stock Market Rules. As of the date of this Annual Report, the Registrant’s Audit Committee is comprised of Brian Howlett (who serves as the committee’s chair), Andrés Finkielsztain and Edith Hofmeister, all of whom are considered independent based on the criteria for independence prescribed by Rule 10A-3 of the Exchange Act and Rules 5605(a)(2) and (c)(2) of the listing rules of the Nasdaq Stock Market LLC (the “Nasdaq Stock Market Rules”).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each member of the Audit Committee is financially literate, meaning each such member has the ability to read and understand a set of financial statements that present a breadth and level of complexity of the issues that can reasonably be expected to be raised by the Registrant’s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Financial Expert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Brian Howlett qualifies as a financial expert (as defined in Item 407(d)(5)(ii) of Regulation S-K under the Exchange Act) and Rule 5605(c)(2)(A) of the Nasdaq Stock Market Rules; and (ii) is independent (as determined under Exchange Act Rule 10A-3 and Rule 5605(a)(2) of the Nasdaq Stock Market Rules).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Registrant has adopted a Code of Business, Conduct and Ethics that applies to directors, officers and employees of, and consultants to, the Registrant (the “Code”). The Code is posted on the Registrant’s website at https://investor.bitfarms.com/corporate-governance/governance-documents. The Code meets the requirements for a “code of ethics” within the meaning of that term in General Instruction 9(b) of Form 40-F. Unless and to the extent specifically referred to herein, the information on the Registrant’s website shall not be deemed to be incorporated by reference in this Annual Report.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waivers of the Code with respect to any of the employees, officers or directors covered by it will be promptly disclosed as required by applicable securities rules and regulations. Since adopted by the Registrant, and until December 31, 2023, the Registrant did not waive or implicitly waive any provision of the Code with respect to any of the Registrant’s principal executive officer, principal financial officer, principal accounting officer or controller, or persons performing similar functions.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Tabular disclosure of the amounts billed to us by our independent registered public accounting firm, PricewaterhouseCoopers LLP, Chartered Professional Accountants (PCAOB ID 271) for the fiscal years ended December 31, 2023 and 2022 as Audit Fees, Audit-Related Fees, Tax Fees and All Other Fees appears on page 86 of the Annual Information Form, filed as Exhibit 99.1 to this Annual Report.</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PRE-APPROVAL OF SERVICES PROVIDED BY INDEPENDENT AUDITOR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to be provided to the Registrant by its independent registered public accounting firm, PricewaterhouseCoopers LLP, Chartered Professional Accountants. The audit committee sets forth its pre-approval and/or confirmation of services authorized by the audit committee in the minutes of its meetings.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Registrant has adopted a compensation recovery policy (the “Executive Compensation Clawback Policy”) as required by the Nasdaq listing rules and Rule 10D-1 of the Exchange Act. A copy of the Executive Compensation Clawback Policy is filed as Exhibit 97.1 to this Annual Report. As described above, the Registrant was required to prepare an accounting restatement of its consolidated financial statements for the year ended December 31, 2022, which has been reflected in the restated comparative periods (including an opening balance sheet as of January 1, 2022) presented in the consolidated financial statements for the year ended December 31, 2023 that are filed as Exhibit 99.2 to this Annual Report. The Registrant concluded that it was not required under the Executive Compensation Clawback Policy to recover any previously awarded incentive-based compensation because the Executive Compensation Clawback Policy applies only to incentive-based compensation received on or after October 2, 2023, and no current or former executive officer who is subject to said policy received any incentive-based compensation on or after such date. The Registrant also notes that current and former executive officers who are subject to the Executive Compensation Clawback Policy have never received incentive-based compensation based on any financial reporting measure that was impacted by the referenced restatement.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NASDAQ CORPORATE GOVERNANCE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foreign private issuer that follows home country practices in lieu of certain provisions of the Nasdaq Stock Market Rules must disclose the ways in which its corporate governance practices differ from those followed by U.S. domestic companies. As required by Nasdaq Rule 5615(a)(3), the Registrant discloses on its website, www.bitfarms.com, each requirement of the Nasdaq Stock Market Rules that it does not follow and describes the home country practice it follows in lieu of such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 diversity matrix required by Nasdaq Marketplace Rule 5606 is available on the Registrant’s website, www.bitfarms.com, in the “Governance” section under the “Investors” tab.</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UNDERTAKING AND CONSENT TO SERVICE OF PROCESS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Undertaking</w:t>
      </w:r>
      <w:r>
        <w:rPr>
          <w:rFonts w:ascii="Times New Roman" w:cs="Times New Roman" w:eastAsia="Times New Roman" w:hAnsi="Times New Roman"/>
          <w:sz w:val="18"/>
          <w:szCs w:val="18"/>
          <w:color w:val="auto"/>
        </w:rPr>
        <w:t>. The Registrant undertakes to make available, in person or by telephone, representatives to respond to inquiries made by the SEC staff,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furnish promptly, when requested to do so by the SEC staff, information relating to the securities registered pursuant to Form 40-F, in relation to which the obligation to file an annual report on Form 40-F arises or transactions in said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B. Consent to Service of Process</w:t>
      </w:r>
      <w:r>
        <w:rPr>
          <w:rFonts w:ascii="Times New Roman" w:cs="Times New Roman" w:eastAsia="Times New Roman" w:hAnsi="Times New Roman"/>
          <w:sz w:val="18"/>
          <w:szCs w:val="18"/>
          <w:color w:val="auto"/>
        </w:rPr>
        <w:t>. The Registrant has previously filed a Form F-X in connection with its common shares. Any change to the name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of the Registrant’s agent for service shall be communicated promptly to the Commission by amendment to the Form F-X referencing the file number of the Registrant.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12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documents are being filed with the Commission as Exhibits to this Registration Statement:</w:t>
            </w:r>
          </w:p>
        </w:tc>
      </w:tr>
      <w:tr>
        <w:trPr>
          <w:trHeight w:val="4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20" w:type="dxa"/>
            <w:vAlign w:val="bottom"/>
            <w:gridSpan w:val="8"/>
          </w:tcPr>
          <w:p>
            <w:pPr>
              <w:ind w:left="1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Borders>
              <w:top w:val="single" w:sz="8" w:color="CCEEFF"/>
            </w:tcBorders>
            <w:shd w:val="clear" w:color="auto" w:fill="CCEEFF"/>
          </w:tcPr>
          <w:p>
            <w:pPr>
              <w:spacing w:after="0"/>
              <w:rPr>
                <w:sz w:val="16"/>
                <w:szCs w:val="16"/>
                <w:color w:val="auto"/>
              </w:rPr>
            </w:pPr>
          </w:p>
        </w:tc>
        <w:tc>
          <w:tcPr>
            <w:tcW w:w="10100" w:type="dxa"/>
            <w:vAlign w:val="bottom"/>
            <w:tcBorders>
              <w:top w:val="single" w:sz="8" w:color="auto"/>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Clawback Policy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Annual Information Form for the year ended December 31,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Audited Consolidated Financial Statements as at and for the years ended December 31, 2023 and 2022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for the year ended December 31,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 or 15d-14(a) of the U.S. Securities Exchange Act of 1934, as 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or 15d-14(a) of the U.S. Securities Exchange Act of 1934, as amended</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99.7</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99.8</w:t>
            </w: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80" w:right="3560" w:hanging="5572"/>
        <w:spacing w:after="0" w:line="783" w:lineRule="auto"/>
        <w:tabs>
          <w:tab w:leader="none" w:pos="11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156845</wp:posOffset>
            </wp:positionV>
            <wp:extent cx="228028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lawback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The purpose of this Clawback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to enable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recover Erroneously Awarded Compensation from Covered Executive Officers in the event that the Company is required to prepare an Accounting Restatement. This Policy is designed to comply with, and shall be interpreted to be consistent with, Section 954 of the Dodd-Frank Wall Street Reform and Consumer Protection Act of 2010, as codified in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under the Exchange Act (“</w:t>
      </w:r>
      <w:r>
        <w:rPr>
          <w:rFonts w:ascii="Times New Roman" w:cs="Times New Roman" w:eastAsia="Times New Roman" w:hAnsi="Times New Roman"/>
          <w:sz w:val="18"/>
          <w:szCs w:val="18"/>
          <w:b w:val="1"/>
          <w:bCs w:val="1"/>
          <w:color w:val="auto"/>
        </w:rPr>
        <w:t>Rule 10D-1</w:t>
      </w:r>
      <w:r>
        <w:rPr>
          <w:rFonts w:ascii="Times New Roman" w:cs="Times New Roman" w:eastAsia="Times New Roman" w:hAnsi="Times New Roman"/>
          <w:sz w:val="18"/>
          <w:szCs w:val="18"/>
          <w:color w:val="auto"/>
        </w:rPr>
        <w:t>”) and Listing Rule 5608 of the corporate governance rules of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Standards</w:t>
      </w:r>
      <w:r>
        <w:rPr>
          <w:rFonts w:ascii="Times New Roman" w:cs="Times New Roman" w:eastAsia="Times New Roman" w:hAnsi="Times New Roman"/>
          <w:sz w:val="18"/>
          <w:szCs w:val="18"/>
          <w:color w:val="auto"/>
        </w:rPr>
        <w:t>”). Unless otherwise defined in this Policy, capitalized terms shall have the meaning ascribed to such terms in</w:t>
      </w:r>
      <w:r>
        <w:rPr>
          <w:rFonts w:ascii="Times New Roman" w:cs="Times New Roman" w:eastAsia="Times New Roman" w:hAnsi="Times New Roman"/>
          <w:sz w:val="18"/>
          <w:szCs w:val="18"/>
          <w:b w:val="1"/>
          <w:bCs w:val="1"/>
          <w:color w:val="auto"/>
        </w:rPr>
        <w:t xml:space="preserve"> Section 2</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Policy, the following capitalized terms shall have the meanings set forth below.</w:t>
      </w:r>
    </w:p>
    <w:p>
      <w:pPr>
        <w:spacing w:after="0" w:line="225" w:lineRule="exact"/>
        <w:rPr>
          <w:sz w:val="20"/>
          <w:szCs w:val="20"/>
          <w:color w:val="auto"/>
        </w:rPr>
      </w:pPr>
    </w:p>
    <w:p>
      <w:pPr>
        <w:jc w:val="both"/>
        <w:ind w:left="980" w:hanging="324"/>
        <w:spacing w:after="0" w:line="25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 is material to the previously issued financial statements (i.e., a “Big R” restatement) or</w:t>
      </w:r>
    </w:p>
    <w:p>
      <w:pPr>
        <w:spacing w:after="0" w:line="1" w:lineRule="exact"/>
        <w:rPr>
          <w:rFonts w:ascii="Times New Roman" w:cs="Times New Roman" w:eastAsia="Times New Roman" w:hAnsi="Times New Roman"/>
          <w:sz w:val="18"/>
          <w:szCs w:val="18"/>
          <w:color w:val="auto"/>
        </w:rPr>
      </w:pPr>
    </w:p>
    <w:p>
      <w:pPr>
        <w:ind w:left="980"/>
        <w:spacing w:after="0" w:line="260" w:lineRule="auto"/>
        <w:tabs>
          <w:tab w:leader="none" w:pos="12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material to the previously issued financial statements but would result in a material misstatement if the error were corrected in the current period or left uncorrected in the current period (i.e., a “little r” restatement).</w:t>
      </w:r>
    </w:p>
    <w:p>
      <w:pPr>
        <w:spacing w:after="0" w:line="18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Restatement Date</w:t>
      </w:r>
      <w:r>
        <w:rPr>
          <w:rFonts w:ascii="Times New Roman" w:cs="Times New Roman" w:eastAsia="Times New Roman" w:hAnsi="Times New Roman"/>
          <w:sz w:val="18"/>
          <w:szCs w:val="18"/>
          <w:color w:val="auto"/>
        </w:rPr>
        <w:t>” means the earlier to occur of (i) the date the Board, a committee of the Board, or the officer or officers of the Company authorized to take such action if the Board’s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Period</w:t>
      </w:r>
      <w:r>
        <w:rPr>
          <w:rFonts w:ascii="Times New Roman" w:cs="Times New Roman" w:eastAsia="Times New Roman" w:hAnsi="Times New Roman"/>
          <w:sz w:val="18"/>
          <w:szCs w:val="18"/>
          <w:color w:val="auto"/>
        </w:rPr>
        <w:t>” means, with respect to any Accounting Restatement, the three completed fiscal years immediately preceding the Accounting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Executive Officer</w:t>
      </w:r>
      <w:r>
        <w:rPr>
          <w:rFonts w:ascii="Times New Roman" w:cs="Times New Roman" w:eastAsia="Times New Roman" w:hAnsi="Times New Roman"/>
          <w:sz w:val="18"/>
          <w:szCs w:val="18"/>
          <w:color w:val="auto"/>
        </w:rPr>
        <w:t>” means an individual who is currently or previously served as the Company’s president, principal financial officer, principal accounting officer (or, if there is no such accounting officer, the controller), vice president of the Company in charge of a principal business unit, division, or function (such as sales, administration, or finance), an officer who performs (or performed) a policy-making function, or any other person who performs (or performed) similar policy-making functions for the Company or is otherwise determined to be an executive officer of the Company pursuant to Item 401(b) of Regulation S-K. An executive officer of the Company’s parent (if any) or subsidiary is deemed a “Covered Executive Officer” if the executive officer performs (or performed) such policy-making functions for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8028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980" w:hanging="324"/>
        <w:spacing w:after="0" w:line="25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xml:space="preserve">” 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paid by the relevant Covered Executive Officer;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Nasdaq.</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the Company’s stock price; total shareholder return; revenues; net income; operating income; profitability of one or more reportable segments; financial ratios; earnings before interest, taxes, depreciation and amortization; and earnings measures (e.g., earnings per share). A Financial Reporting Measure is not required to be presented within the Company’s financial statements or included in a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qualify as a “Financial Reporting Measure.”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Incentive-Based Compensation is deemed “received” for purposes of this Policy in the Company’s fiscal period during which the Financial Reporting Measure specified in the Incentive-Based Compensation award is attained, even if the payment or grant of such Incentive-Based Compensation occurs after the end of that fiscal period.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For purposes of this Policy, the Compensation Committee shall be referred to herein as the “Administrator.” The Administrator is authorized to interpret and construe this Policy and to make all determinations necessary, appropriate or advisable for the administration of this Policy, in each case, to the extent permitted under the Listing Standards and in compliance with (or pursuant to an exemption from the application of) Section 409A of the Code. All determinations and decisions made by the Administrator pursuant to the provisions of this Policy shall be final, conclusive and binding on all persons, including the Company, its affiliates, its stockholders and Covered Executive Officers, and need not be uniform with respect to each person covered by this Policy.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2651125</wp:posOffset>
            </wp:positionH>
            <wp:positionV relativeFrom="page">
              <wp:posOffset>586105</wp:posOffset>
            </wp:positionV>
            <wp:extent cx="228028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the administration of this Policy, the Administrator is authorized and directed to consult with the full Board, the Audit Committee of the Board and/or any such other committee of the Board as may be necessary or appropriate as to matters within the scope of such other committee’s responsibility and 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 Any action or inaction by the Administrator with respect to a Covered Executive Officer under this Policy in no way limits the Administrator’s decision to act or not to act with respect to any other Covered Executive Officer under this Policy or under any similar policy, agreement or arrangement, nor shall any such action or inaction serve as a waiver of any rights the Company may have against any Covered Executive Officer other than as set forth in this Policy.</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7"/>
          <w:szCs w:val="17"/>
          <w:b w:val="1"/>
          <w:bCs w:val="1"/>
          <w:color w:val="auto"/>
        </w:rPr>
        <w:t>Application</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This Policy applies to all Incentive-Based Compensation received by a Covered Executive Officer on or after October 2, 2023: (i) after beginning service as a Covered Executive Officer; (ii) who served as a Covered Executive Officer at any time during the performance period for such Incentive-Based Compensation; (iii) while the Company had a listed class of securities on a US national securities exchange; and (iv) during the Applicable Period. For the avoidance of doubt, Incentive-Based Compensation that is subject to both a Financial Reporting Measure vesting condition and a service- based vesting condition shall be considered received when the relevant Financial Reporting Measure is achieved, even if the Incentive-Based Compensation continues to be subject to the service-based vesting condition. In the event of any inconsistency between this Policy and the terms of any employment agreement or other similar agreement to which a Covered Executive Officer is a party, or the terms of any compensation plan, program or agreement under which any compensation has been granted, awarded, earned or paid to a Covered Executive Officer, in each case, by or with the Company or any of its subsidiaries, the terms of this Policy shall govern.</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7"/>
          <w:szCs w:val="17"/>
          <w:b w:val="1"/>
          <w:bCs w:val="1"/>
          <w:color w:val="auto"/>
        </w:rPr>
        <w:t>Recovery Requirement</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the event of an Accounting Restatement, the Company must recover Erroneously Awarded Compensation reasonably promptly, in amounts determined pursuant to this Policy. The Company’s obligation to recover Erroneously Awarded Compensation is not dependent on the filing of restated financial statements. Recovery under this Policy with respect to a Covered Executive Officer shall not require the finding of any misconduct by such Covered Executive Officer or such Covered Executive Officer being found responsible for the accounting error leading to an Accounting Restatement. In the event of an Accounting Restatement, the method for recouping Erroneously Awarded Compensation shall be determined by the Administrator in its sole and absolute discretion, to the extent permitted under the Listing Standards and in compliance with (or pursuant to an exemption from the application of) Section 409A of the Code. Recovery may include, without limitation, (i) reimbursement of all or a portion of any incentive compensation award, (ii) cancellation of incentive compensation awards and (iii) any other method authorized by applicable law or contract. To the extent that a Covered Executive Officer fails to repay all Erroneously Awarded Compensation to the Company when due, the Company shall take all actions reasonable and appropriate to recover such Erroneously Awarded Compensation from the applicable Covered Executive Officer, subject to the provisions of the immediately following paragraph. The applicable Covered Executive Officer shall be required to reimburse the Company for any and all expenses reasonably incurred by the Company (including legal fees) in recovering such Erroneously Awarded Compensation in accordance with the immediately preceding sentence.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80285"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authorized and directed pursuant to this Policy to recover Erroneously Awarded Compensation in compliance with this Policy unless the Compensation Committee has determined that recovery would be impracticable solely for the following limited reasons, and subject to the following procedural and disclosure requirements:</w:t>
      </w:r>
    </w:p>
    <w:p>
      <w:pPr>
        <w:spacing w:after="0" w:line="176"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would exceed the amount to be recovered. Before reaching such conclusion, the Administrator must make a reasonable attempt to recover such Erroneously Awarded Compensation, document such reasonable attempt(s) to recover, and provide that documentation to Nasdaq;</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Before reaching such conclusion, the Administrator must obtain an opinion of home country counsel, acceptable to Nasdaq, that recovery would result in such a violation, and must provide such opinion to Nasdaq; or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Code.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7"/>
          <w:szCs w:val="17"/>
          <w:b w:val="1"/>
          <w:bCs w:val="1"/>
          <w:color w:val="auto"/>
        </w:rPr>
        <w:t>Prohibition on Indemnification and Insurance Reimbursement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shall not indemnify any Covered Executive Officer against or with respect to the loss of any Erroneously Awarded Compensation. Further, the Company shall not pay or reimburse a Covered Executive Officer for the cost of purchasing insurance to cover any such loss. The Company shall also not enter into any agreement or arrangement whereby this Policy would not apply or fail to be enforced against a Covered Executive Officer.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7"/>
          <w:szCs w:val="17"/>
          <w:b w:val="1"/>
          <w:bCs w:val="1"/>
          <w:color w:val="auto"/>
        </w:rPr>
        <w:t>Required Filings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requirements of US federal securities laws, including disclosures required to be included in SEC filings. A copy of this Policy and any amendments hereto shall be posted on the Company’s website and filed as an exhibit to the Company’s annual report on Form 40-F.</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Each Covered Executive Officer shall sign and return to the Company within thirty (30) calendar days following the later of (i) the effective date of this Policy set forth below or (ii) the date such individual becomes a Covered Executive Officer, the Acknowledgement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pursuant to which the Covered Executive Officer agrees to be bound by, and to comply with, the terms and conditions of this Policy; provided, however, that this Policy shall be effective in respect of each Covered Executive Officer regardless of whether such Covered Executive Officer signs and returns the Acknowledgment Form.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80285"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7"/>
          <w:szCs w:val="17"/>
          <w:b w:val="1"/>
          <w:bCs w:val="1"/>
          <w:color w:val="auto"/>
        </w:rPr>
        <w:t>Amendment; Termination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Compensation Committee may amend this Policy from time to time in its sole and absolute discretion and shall amend this Policy as it deems necessary to reflect the Listing Standards or to comply with (or maintain an exemption from the application of) Section 409A of the Code. The Compensation Committee may terminate this Policy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termination of this Policy would not cause the Company to violate any federal securities laws, rules promulgated by the SEC or the Listing Standards.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Policy shall be effective as of November 29,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terms of this Policy shall apply to any Incentive-Based Compensation that is received by Covered Executive Officers on or after October 2, 2023, even if such Incentive-Based Compensation was approved, awarded or granted to Covered Executive Officers prior to the Effective Date and shall not limit any right of recovery with respect to compensation received prior to the Effective Date.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color w:val="auto"/>
        </w:rPr>
        <w:t>Other Recovery Obligations; General Rights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Board intends that this Policy shall be applied to the fullest extent of the law. To the extent that the application of this Policy would provide for recovery of Incentive-Based Compensation that the Company already recovered pursuant to Section 304 of the Sarbanes-Oxley Act or other recovery obligation, any such amount recovered from a Covered Executive Officer will be credited to any recovery required under this Policy in respect of such Covered Executive Officer.</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This Policy shall not limit the rights of the Company to take any other actions or pursue other remedies that the Company may deem appropriate under the circumstances and under applicable law, in each case, to the extent permitted under the Listing Standards and in compliance with (or pursuant to an exemption from the application of) Section 409A of the Code.</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This Policy is binding and enforceable against all Covered Executive Officers and their beneficiaries, heirs, executors, administrators or other legal representatives.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Dated:</w:t>
      </w:r>
      <w:r>
        <w:rPr>
          <w:sz w:val="20"/>
          <w:szCs w:val="20"/>
          <w:color w:val="auto"/>
        </w:rPr>
        <w:tab/>
      </w:r>
      <w:r>
        <w:rPr>
          <w:rFonts w:ascii="Times New Roman" w:cs="Times New Roman" w:eastAsia="Times New Roman" w:hAnsi="Times New Roman"/>
          <w:sz w:val="18"/>
          <w:szCs w:val="18"/>
          <w:b w:val="1"/>
          <w:bCs w:val="1"/>
          <w:color w:val="auto"/>
        </w:rPr>
        <w:t>November 29, 2023 (the “Effective Date”)</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Approved by:</w:t>
      </w:r>
      <w:r>
        <w:rPr>
          <w:sz w:val="20"/>
          <w:szCs w:val="20"/>
          <w:color w:val="auto"/>
        </w:rPr>
        <w:tab/>
      </w:r>
      <w:r>
        <w:rPr>
          <w:rFonts w:ascii="Times New Roman" w:cs="Times New Roman" w:eastAsia="Times New Roman" w:hAnsi="Times New Roman"/>
          <w:sz w:val="17"/>
          <w:szCs w:val="17"/>
          <w:b w:val="1"/>
          <w:bCs w:val="1"/>
          <w:color w:val="auto"/>
        </w:rPr>
        <w:t>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586105</wp:posOffset>
            </wp:positionV>
            <wp:extent cx="2280285" cy="600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280285" cy="60007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FORM</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By signing below, the undersigned acknowledges and confirms that the undersigned has received and reviewed a copy of the Bitfarms Ltd.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signing this Acknowledgement Form, the undersigned acknowledges and agrees that the undersigned is and will continue to be subject to the Policy and that the Policy will apply both during and after the undersigned’s employment or service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and notwithstanding anything to the contrary in any other policy, plan, program, agreement or other arrangement to which the undersigned is subject or a party or in which the undersigned participates.</w:t>
      </w:r>
    </w:p>
    <w:p>
      <w:pPr>
        <w:spacing w:after="0" w:line="1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294005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1254125</wp:posOffset>
            </wp:positionV>
            <wp:extent cx="2743200" cy="711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0" w:lineRule="exact"/>
        <w:rPr>
          <w:sz w:val="20"/>
          <w:szCs w:val="20"/>
          <w:color w:val="auto"/>
        </w:rPr>
      </w:pPr>
    </w:p>
    <w:p>
      <w:pPr>
        <w:spacing w:after="0" w:line="24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ANNUAL INFORMATION 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2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1134110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8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40" w:type="dxa"/>
            <w:vAlign w:val="bottom"/>
          </w:tcPr>
          <w:p>
            <w:pPr>
              <w:spacing w:after="0"/>
              <w:rPr>
                <w:sz w:val="20"/>
                <w:szCs w:val="20"/>
                <w:color w:val="auto"/>
              </w:rPr>
            </w:pPr>
          </w:p>
        </w:tc>
      </w:tr>
      <w:tr>
        <w:trPr>
          <w:trHeight w:val="223"/>
        </w:trPr>
        <w:tc>
          <w:tcPr>
            <w:tcW w:w="1040" w:type="dxa"/>
            <w:vAlign w:val="bottom"/>
            <w:tcBorders>
              <w:bottom w:val="single" w:sz="8" w:color="auto"/>
            </w:tcBorders>
          </w:tcPr>
          <w:p>
            <w:pPr>
              <w:spacing w:after="0"/>
              <w:rPr>
                <w:sz w:val="19"/>
                <w:szCs w:val="19"/>
                <w:color w:val="auto"/>
              </w:rPr>
            </w:pPr>
          </w:p>
        </w:tc>
        <w:tc>
          <w:tcPr>
            <w:tcW w:w="8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GENERAL INFORMATION</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INFORMATION REGARDING BITFARMS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EXEMPTION</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w:t>
            </w: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STRUCTURE</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INCORPORATION OF THE COMPANY</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SUBSIDIARIES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8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40" w:type="dxa"/>
            <w:vAlign w:val="bottom"/>
            <w:shd w:val="clear" w:color="auto" w:fill="CCEEFF"/>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FISCAL 2021</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4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FISCAL 2022</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40" w:type="dxa"/>
            <w:vAlign w:val="bottom"/>
            <w:shd w:val="clear" w:color="auto" w:fill="CCEEFF"/>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FISCAL 2023</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FISCAL 2024</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BUSINESS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MINING POOL PARTICIPATION</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PRODUCTS AND SERVICES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CRYPTOCURRENCY BACKGROUND</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MINING</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BUSINESS AND STRATEGY</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MINING PROFITABILITY</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DIGITAL ASSET MANAGEMENT PROGRAM</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CUSTODY OF CRYPTO ASSETS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HEDGING PROGRAM OF DIGITAL ASSETS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SYNTHETIC HODL PROGRAM OF DIGITAL ASSETS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MINING OPERATIONS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COMPETITIVE CONDITIONS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HARDWARE AND SOFTWARE</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PROPERTIES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BANKRUPTCY PROCEEDINGS</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8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RISK FACTORS</w:t>
            </w:r>
          </w:p>
        </w:tc>
        <w:tc>
          <w:tcPr>
            <w:tcW w:w="1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w:t>
            </w:r>
          </w:p>
        </w:tc>
      </w:tr>
      <w:tr>
        <w:trPr>
          <w:trHeight w:val="198"/>
        </w:trPr>
        <w:tc>
          <w:tcPr>
            <w:tcW w:w="104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4.20</w:t>
            </w:r>
          </w:p>
        </w:tc>
        <w:tc>
          <w:tcPr>
            <w:tcW w:w="886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SUPPLY OF ELECTRICAL POWER, ELECTRICITY RATES, TERMS OF SERVICE AND THE RÉGIE DE</w:t>
            </w:r>
          </w:p>
        </w:tc>
        <w:tc>
          <w:tcPr>
            <w:tcW w:w="1340" w:type="dxa"/>
            <w:vAlign w:val="bottom"/>
            <w:shd w:val="clear" w:color="auto" w:fill="CCEEFF"/>
          </w:tcPr>
          <w:p>
            <w:pPr>
              <w:spacing w:after="0"/>
              <w:rPr>
                <w:sz w:val="17"/>
                <w:szCs w:val="17"/>
                <w:color w:val="auto"/>
              </w:rPr>
            </w:pPr>
          </w:p>
        </w:tc>
      </w:tr>
      <w:tr>
        <w:trPr>
          <w:trHeight w:val="234"/>
        </w:trPr>
        <w:tc>
          <w:tcPr>
            <w:tcW w:w="1040" w:type="dxa"/>
            <w:vAlign w:val="bottom"/>
            <w:shd w:val="clear" w:color="auto" w:fill="CCEEFF"/>
          </w:tcPr>
          <w:p>
            <w:pPr>
              <w:spacing w:after="0"/>
              <w:rPr>
                <w:sz w:val="20"/>
                <w:szCs w:val="20"/>
                <w:color w:val="auto"/>
              </w:rPr>
            </w:pPr>
          </w:p>
        </w:tc>
        <w:tc>
          <w:tcPr>
            <w:tcW w:w="8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L’ÉNERGIE</w:t>
            </w:r>
          </w:p>
        </w:tc>
        <w:tc>
          <w:tcPr>
            <w:tcW w:w="1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8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SPECIALIZED SKILL KNOWLEDGE</w:t>
            </w:r>
          </w:p>
        </w:tc>
        <w:tc>
          <w:tcPr>
            <w:tcW w:w="1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12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 xml:space="preserve">TABLE OF CONTENTS </w:t>
            </w:r>
            <w:r>
              <w:rPr>
                <w:rFonts w:ascii="Times New Roman" w:cs="Times New Roman" w:eastAsia="Times New Roman" w:hAnsi="Times New Roman"/>
                <w:sz w:val="18"/>
                <w:szCs w:val="18"/>
                <w:color w:val="auto"/>
              </w:rPr>
              <w:t>(continued)</w:t>
            </w:r>
          </w:p>
        </w:tc>
        <w:tc>
          <w:tcPr>
            <w:tcW w:w="1080" w:type="dxa"/>
            <w:vAlign w:val="bottom"/>
          </w:tcPr>
          <w:p>
            <w:pPr>
              <w:spacing w:after="0"/>
              <w:rPr>
                <w:sz w:val="20"/>
                <w:szCs w:val="20"/>
                <w:color w:val="auto"/>
              </w:rPr>
            </w:pPr>
          </w:p>
        </w:tc>
      </w:tr>
      <w:tr>
        <w:trPr>
          <w:trHeight w:val="223"/>
        </w:trPr>
        <w:tc>
          <w:tcPr>
            <w:tcW w:w="10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FUTURE GROWTH PLANS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CAUTIONARY STATEMENTS</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ARGENTINA EXPANSION</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PARAGUAY EXPANSION</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WASHINGTON EXPANSION</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CANADA EXPANSION</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CAPITAL STRUCTURE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MARKET FOR SECURITIES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TRADING PRICE AND VOLUME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ESCROWED SECURITIES AND SECURITIES SUBJECT TO CONTRACTUAL RESTRICTION ON TRANSFER</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PRIOR SALES</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NAME, OCCUPATION AND SECURITY HOLDING</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BIOGRAPHY</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CEASE TRADE ORDERS, BANKRUPTCIES, PENALTIES OR SANCTIONS</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CODE OF CONDUCT AND CONFLICTS OF INTEREST</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OF MANAGEMENT AND OTHERS IN MATERIAL TRANSACTIONS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INTERESTS OF EXPERTS</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AUDIT COMMITTEE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COMPENSATION COMMITTEE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9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ENVIRONMENTAL AND SOCIAL RESPONSIBILITY COMMITTEE</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RISK COMMITTEE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REGULATORY COMPLIANCE</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9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10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104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90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Information Form, the following capitalized words and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 F-10 Registration</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Form F-10 that included the August SFBS Prospectus filed with SEC as described in Section 3 - </w:t>
            </w:r>
            <w:r>
              <w:rPr>
                <w:rFonts w:ascii="Times New Roman" w:cs="Times New Roman" w:eastAsia="Times New Roman" w:hAnsi="Times New Roman"/>
                <w:sz w:val="18"/>
                <w:szCs w:val="18"/>
                <w:i w:val="1"/>
                <w:iCs w:val="1"/>
                <w:color w:val="auto"/>
              </w:rPr>
              <w:t>GENERAL</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DEVELOPMENT OF THE BUSINESS - FISCAL 2021 </w:t>
            </w:r>
            <w:r>
              <w:rPr>
                <w:rFonts w:ascii="Times New Roman" w:cs="Times New Roman" w:eastAsia="Times New Roman" w:hAnsi="Times New Roman"/>
                <w:sz w:val="18"/>
                <w:szCs w:val="18"/>
                <w:color w:val="auto"/>
              </w:rPr>
              <w:t>- E. Prospectus Filings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AIF</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This annual information form dated March 6, 2024.</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Anchorage Digital</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Anchorage Digital Bank N.A.</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ANDE</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National Electricity Administration, the operator of Paraguay’s national electricity grid.</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Argentina Expansion</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The existing and planned construction of a server farm facility in stages in Argentina. </w:t>
            </w:r>
            <w:r>
              <w:rPr>
                <w:rFonts w:ascii="Times New Roman" w:cs="Times New Roman" w:eastAsia="Times New Roman" w:hAnsi="Times New Roman"/>
                <w:sz w:val="18"/>
                <w:szCs w:val="18"/>
                <w:i w:val="1"/>
                <w:iCs w:val="1"/>
                <w:color w:val="auto"/>
              </w:rPr>
              <w:t>Sect. 5.2 - ARGENTINA</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EXPANSION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ASIC</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specific integrated circuit.</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ATM Agreement</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at-the-market offering agreement dated August 16, 2021, between the Company and H.C. Wainwright &amp; Co.</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ATM program</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At-the-market equity program that commenced on August 16, 2021 by means of a prospectus supplement dated</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16, 2021, to the Company’s short form base shelf prospectus dated August 12, 2021, and U.S. registration</w:t>
            </w:r>
          </w:p>
        </w:tc>
      </w:tr>
      <w:tr>
        <w:trPr>
          <w:trHeight w:val="216"/>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 on Form-F-10, which included a prospectus supplement related to the ATM. The ATM program expired on</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12, 2023.</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ATM Prospectus Supplement</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A Prospectus Supplement to the August SFBS Prospectus filed with SEC as described in Section 3 - </w:t>
            </w:r>
            <w:r>
              <w:rPr>
                <w:rFonts w:ascii="Times New Roman" w:cs="Times New Roman" w:eastAsia="Times New Roman" w:hAnsi="Times New Roman"/>
                <w:sz w:val="18"/>
                <w:szCs w:val="18"/>
                <w:i w:val="1"/>
                <w:iCs w:val="1"/>
                <w:color w:val="auto"/>
              </w:rPr>
              <w:t>GENERAL</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DEVELOPMENT OF THE BUSINESS - FISCAL 2021 - E. Prospectus Filings.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 Charter</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The Charter of the Audit Committee as described in section </w:t>
            </w:r>
            <w:r>
              <w:rPr>
                <w:rFonts w:ascii="Times New Roman" w:cs="Times New Roman" w:eastAsia="Times New Roman" w:hAnsi="Times New Roman"/>
                <w:sz w:val="18"/>
                <w:szCs w:val="18"/>
                <w:i w:val="1"/>
                <w:iCs w:val="1"/>
                <w:color w:val="auto"/>
              </w:rPr>
              <w:t>15.1 - AUDIT COMMITTEE.</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August SFBS Prospectus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final base shelf short form prospectus filed by the Company on August 12, 2021.</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Backbone</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Backbone Argentina</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Backbone Hosting Solutions S.A.U. (Argentina).</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Backbone Paraguay</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Halving</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Has the meaning ascribed thereto in </w:t>
            </w:r>
            <w:r>
              <w:rPr>
                <w:rFonts w:ascii="Times New Roman" w:cs="Times New Roman" w:eastAsia="Times New Roman" w:hAnsi="Times New Roman"/>
                <w:sz w:val="18"/>
                <w:szCs w:val="18"/>
                <w:i w:val="1"/>
                <w:iCs w:val="1"/>
                <w:color w:val="auto"/>
              </w:rPr>
              <w:t>RISK FACTORS of the MD&amp;A.</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Bitfarms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operating business name and trademarked name of Backbone.</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Bitfarms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Bitfarms Ltd., a corporation incorporated pursuant to the laws of Canada and continued under the Ontario Business</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 Act., listed on the TSX and Nasdaq under the symbol BITF, including all subsidiaries thereof.</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Bitfarms Board </w:t>
            </w:r>
            <w:r>
              <w:rPr>
                <w:rFonts w:ascii="Times New Roman" w:cs="Times New Roman" w:eastAsia="Times New Roman" w:hAnsi="Times New Roman"/>
                <w:sz w:val="18"/>
                <w:szCs w:val="18"/>
                <w:color w:val="auto"/>
              </w:rPr>
              <w:t>or the</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of directors of Bitfarms.</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8860" w:type="dxa"/>
            <w:vAlign w:val="bottom"/>
          </w:tcPr>
          <w:p>
            <w:pPr>
              <w:spacing w:after="0"/>
              <w:rPr>
                <w:sz w:val="20"/>
                <w:szCs w:val="20"/>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Bitfarms Shares </w:t>
            </w:r>
            <w:r>
              <w:rPr>
                <w:rFonts w:ascii="Times New Roman" w:cs="Times New Roman" w:eastAsia="Times New Roman" w:hAnsi="Times New Roman"/>
                <w:sz w:val="18"/>
                <w:szCs w:val="18"/>
                <w:color w:val="auto"/>
              </w:rPr>
              <w:t>or</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common shares in the capital of Bitfarms.</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8860" w:type="dxa"/>
            <w:vAlign w:val="bottom"/>
          </w:tcPr>
          <w:p>
            <w:pPr>
              <w:spacing w:after="0"/>
              <w:rPr>
                <w:sz w:val="20"/>
                <w:szCs w:val="20"/>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BMS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Backbone Mining Solutions, Inc.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BTC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Bitcoin</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Bitcoin, a decentralized digital currency that can be sent from user to user on the BTC network without the need for</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intermediaries to clear transactions.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Bunker</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leased property in Sherbrooke, Québec in 2021 to develop a mining facility. The project was completed</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 2022. Refer to 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I. Quebec Expansion.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CEO</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669"/>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 | Page</w:t>
            </w:r>
          </w:p>
        </w:tc>
        <w:tc>
          <w:tcPr>
            <w:tcW w:w="8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GLOSSARY OF DEFINED TERMS </w:t>
      </w:r>
      <w:r>
        <w:rPr>
          <w:rFonts w:ascii="Times New Roman" w:cs="Times New Roman" w:eastAsia="Times New Roman" w:hAnsi="Times New Roman"/>
          <w:sz w:val="22"/>
          <w:szCs w:val="22"/>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CFO</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CLYFSA</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Compañía Luz y Fuerza S.A., a private electricity distribution company located in the city of Villarrica, Paraguay.</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Coinbase Custody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Coinbase Trust Company, LLC.</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 provided in Section 15.3 - </w:t>
            </w:r>
            <w:r>
              <w:rPr>
                <w:rFonts w:ascii="Times New Roman" w:cs="Times New Roman" w:eastAsia="Times New Roman" w:hAnsi="Times New Roman"/>
                <w:sz w:val="18"/>
                <w:szCs w:val="18"/>
                <w:i w:val="1"/>
                <w:iCs w:val="1"/>
                <w:color w:val="auto"/>
              </w:rPr>
              <w:t>COMMITTEES – COMPENSATION COMMITTEE</w:t>
            </w:r>
            <w:r>
              <w:rPr>
                <w:rFonts w:ascii="Times New Roman" w:cs="Times New Roman" w:eastAsia="Times New Roman" w:hAnsi="Times New Roman"/>
                <w:sz w:val="18"/>
                <w:szCs w:val="18"/>
                <w:color w:val="auto"/>
              </w:rPr>
              <w:t>.</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CORE IR Agreement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agreement  between  the  Company  and  CORE  IR  for  investor  relations,  public  relations  and  shareholder</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 services entered into on March 12, 2021, and terminated in October 2021.</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Cryptocurrency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form of encrypted and decentralized digital currency, transferred directly between peers across the Internet, with</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being settled, confirmed and recorded in a distributed public ledger through Mining. Cryptocurrency is</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either newly “minted” through an initial coin/token offering or Mined, which results in a new coin generated as a reward</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incentivize miners for verifying transactions on the blockchain.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Facilities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eleven operational Mining facilities operated by the Company in the Province of Québec, Washington State,</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Paraguay and Argentina as of March 6, 2024, namely the facilities at Farnham, Saint-Hyacinthe, Cowansville, Magog,</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Sherbrooke (Leger, Garlock, the Bunker), Baie-Comeau, Villarrica, Washington State and Rio Cuarto.</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2021 Debt Facility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US$100 million credit facility between the Company and Galaxy Digital entered into on December 30, 2021 and</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repaid and retired on December 2022. This is described in Section 3 - </w:t>
            </w:r>
            <w:r>
              <w:rPr>
                <w:rFonts w:ascii="Times New Roman" w:cs="Times New Roman" w:eastAsia="Times New Roman" w:hAnsi="Times New Roman"/>
                <w:sz w:val="18"/>
                <w:szCs w:val="18"/>
                <w:i w:val="1"/>
                <w:iCs w:val="1"/>
                <w:color w:val="auto"/>
              </w:rPr>
              <w:t>GENERAL DEVELOPMENT OF THE BUSINESS</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 FISCAL 2021 - </w:t>
            </w:r>
            <w:r>
              <w:rPr>
                <w:rFonts w:ascii="Times New Roman" w:cs="Times New Roman" w:eastAsia="Times New Roman" w:hAnsi="Times New Roman"/>
                <w:sz w:val="18"/>
                <w:szCs w:val="18"/>
                <w:color w:val="auto"/>
              </w:rPr>
              <w:t>C. Debt 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 la Pointe Property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Company’s former 78,000 square foot facility located in Sherbrooke, Quebec, which ceased production and was sold</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December 2022.</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Digital Asset Management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The Company’s BTC holding strategy implemented in January 2021 as described in Section 4.8 - </w:t>
            </w:r>
            <w:r>
              <w:rPr>
                <w:rFonts w:ascii="Times New Roman" w:cs="Times New Roman" w:eastAsia="Times New Roman" w:hAnsi="Times New Roman"/>
                <w:sz w:val="18"/>
                <w:szCs w:val="18"/>
                <w:i w:val="1"/>
                <w:iCs w:val="1"/>
                <w:color w:val="auto"/>
              </w:rPr>
              <w:t>DESCRIPTION OF</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BUSINESS - DIGITAL ASSET MANAGEMENT PROGRAM</w:t>
            </w:r>
            <w:r>
              <w:rPr>
                <w:rFonts w:ascii="Times New Roman" w:cs="Times New Roman" w:eastAsia="Times New Roman" w:hAnsi="Times New Roman"/>
                <w:sz w:val="18"/>
                <w:szCs w:val="18"/>
                <w:color w:val="auto"/>
              </w:rPr>
              <w:t>.</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Dominion</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Dominion Capital.</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Dominion Facility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2021 -</w:t>
            </w:r>
            <w:r>
              <w:rPr>
                <w:rFonts w:ascii="Times New Roman" w:cs="Times New Roman" w:eastAsia="Times New Roman" w:hAnsi="Times New Roman"/>
                <w:sz w:val="18"/>
                <w:szCs w:val="18"/>
                <w:color w:val="auto"/>
              </w:rPr>
              <w:t xml:space="preserve"> C.</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and Social</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Has  the  meaning  as  provided  in  Section  15.4  -  COMMITTEES  -  ENVIRONMENTAL  AND  SOCIAL</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Responsibility Committee</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RESPONSIBILITY COMMITTEE.</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 social and governance.</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2021 Offering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February 2021 private placement of 11,560,695 common shares and associated warrants as per described in Section</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B. Private Placements.</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2022 BlockFi</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US$32 million credit facility between the Company and BlockFi Lending LLC., a private lender entered into on</w:t>
            </w:r>
          </w:p>
        </w:tc>
      </w:tr>
      <w:tr>
        <w:trPr>
          <w:trHeight w:val="21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February 24, 2022 and repaid and retired on February 2023 as described in Section 3 - </w:t>
            </w:r>
            <w:r>
              <w:rPr>
                <w:rFonts w:ascii="Times New Roman" w:cs="Times New Roman" w:eastAsia="Times New Roman" w:hAnsi="Times New Roman"/>
                <w:sz w:val="18"/>
                <w:szCs w:val="18"/>
                <w:i w:val="1"/>
                <w:iCs w:val="1"/>
                <w:color w:val="auto"/>
              </w:rPr>
              <w:t>GENERAL DEVELOPMENT OF</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THE BUSINESS - FISCAL 2022 </w:t>
            </w:r>
            <w:r>
              <w:rPr>
                <w:rFonts w:ascii="Times New Roman" w:cs="Times New Roman" w:eastAsia="Times New Roman" w:hAnsi="Times New Roman"/>
                <w:sz w:val="18"/>
                <w:szCs w:val="18"/>
                <w:color w:val="auto"/>
              </w:rPr>
              <w:t>- C. Debt 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means, without being limited to, the strategy and processes for implementing hedges to mitigate the risk introduced by</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the volatility of bitcoin to the Company’s operating cashflows and its mining assets as described in section </w:t>
            </w:r>
            <w:r>
              <w:rPr>
                <w:rFonts w:ascii="Times New Roman" w:cs="Times New Roman" w:eastAsia="Times New Roman" w:hAnsi="Times New Roman"/>
                <w:sz w:val="18"/>
                <w:szCs w:val="18"/>
                <w:i w:val="1"/>
                <w:iCs w:val="1"/>
                <w:color w:val="auto"/>
              </w:rPr>
              <w:t>15.5 - RISK</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COMMITTEE.</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641"/>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 | Page</w:t>
            </w: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GLOSSARY OF DEFINED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fiscal year ended December 31, 2021.</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fiscal year ended December 31, 2022.</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fiscal year ended December 31, 2023.</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fiscal year ending December 31, 2024.</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Foundry Loans #1, #2, #3</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Which are fully repaid, has the meaning as provided for in Section 3 - </w:t>
            </w:r>
            <w:r>
              <w:rPr>
                <w:rFonts w:ascii="Times New Roman" w:cs="Times New Roman" w:eastAsia="Times New Roman" w:hAnsi="Times New Roman"/>
                <w:sz w:val="18"/>
                <w:szCs w:val="18"/>
                <w:i w:val="1"/>
                <w:iCs w:val="1"/>
                <w:color w:val="auto"/>
              </w:rPr>
              <w:t>GENERAL DEVELOPMENT OF THE BUSINESS</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#4</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 FISCAL 2021 - </w:t>
            </w:r>
            <w:r>
              <w:rPr>
                <w:rFonts w:ascii="Times New Roman" w:cs="Times New Roman" w:eastAsia="Times New Roman" w:hAnsi="Times New Roman"/>
                <w:sz w:val="18"/>
                <w:szCs w:val="18"/>
                <w:color w:val="auto"/>
              </w:rPr>
              <w:t>C. Debt Financing.</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FPPS</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Pay Per Share, the formula-driven rate at which the Company sells computational power to Mining Pools.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Garlock</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building acquired by the Company on March 11, 2022 located in Sherbrooke, Québec.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GMSA</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Generacion Mediterranea S.A., one of the subsidiaries of Grupo Albanesi, an Argentine private corporate group focused</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the energy market which provides natural gas and electrical energy to its clients.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2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Governance and Nominating</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Has the meanings as provided in </w:t>
            </w:r>
            <w:r>
              <w:rPr>
                <w:rFonts w:ascii="Times New Roman" w:cs="Times New Roman" w:eastAsia="Times New Roman" w:hAnsi="Times New Roman"/>
                <w:sz w:val="18"/>
                <w:szCs w:val="18"/>
                <w:i w:val="1"/>
                <w:iCs w:val="1"/>
                <w:color w:val="auto"/>
              </w:rPr>
              <w:t>Section 15.2 - COMMITTEES - GOVERNANCE AND NOMINATING COMMITTEE.</w:t>
            </w:r>
          </w:p>
        </w:tc>
      </w:t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8860" w:type="dxa"/>
            <w:vAlign w:val="bottom"/>
          </w:tcPr>
          <w:p>
            <w:pPr>
              <w:spacing w:after="0"/>
              <w:rPr>
                <w:sz w:val="20"/>
                <w:szCs w:val="20"/>
                <w:color w:val="auto"/>
              </w:rPr>
            </w:pP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5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PUD</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Grant County Power Utility District in Washington State.</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output of a hash function, i.e., the output of the fundamental mathematical computation of a particular</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cryptocurrency’s computer code which Miners execute.</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Hosting Agreement</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2021 -</w:t>
            </w:r>
            <w:r>
              <w:rPr>
                <w:rFonts w:ascii="Times New Roman" w:cs="Times New Roman" w:eastAsia="Times New Roman" w:hAnsi="Times New Roman"/>
                <w:sz w:val="18"/>
                <w:szCs w:val="18"/>
                <w:color w:val="auto"/>
              </w:rPr>
              <w:t xml:space="preserve"> J.</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Washington Expansion.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Hydro-Magog</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regional public utility company that manages the generation and distribution of electricity in the region of Magog,</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Québec.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Hydro-Québec</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Means “Commission hydroélectrique du Québec”, the provincial public utility company that manages the generation and</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of electricity in the Province of Québec.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Hydro-Sherbrooke</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regional public utility company that manages the generation and distribution of electricity in the region of</w:t>
            </w:r>
          </w:p>
        </w:tc>
      </w:tr>
      <w:tr>
        <w:trPr>
          <w:trHeight w:val="234"/>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Sherbrooke, Québec.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5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Ingenia</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Ingenia Grupo Consultor and Gieco S.A., as described in Section 5.2 - </w:t>
            </w:r>
            <w:r>
              <w:rPr>
                <w:rFonts w:ascii="Times New Roman" w:cs="Times New Roman" w:eastAsia="Times New Roman" w:hAnsi="Times New Roman"/>
                <w:sz w:val="18"/>
                <w:szCs w:val="18"/>
                <w:i w:val="1"/>
                <w:iCs w:val="1"/>
                <w:color w:val="auto"/>
              </w:rPr>
              <w:t>ARGENTINA EXPANSION.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Initial Draw</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The initial US$60 million draw on the December 2021 Debt Facility as described in Section 3 - </w:t>
            </w:r>
            <w:r>
              <w:rPr>
                <w:rFonts w:ascii="Times New Roman" w:cs="Times New Roman" w:eastAsia="Times New Roman" w:hAnsi="Times New Roman"/>
                <w:sz w:val="18"/>
                <w:szCs w:val="18"/>
                <w:i w:val="1"/>
                <w:iCs w:val="1"/>
                <w:color w:val="auto"/>
              </w:rPr>
              <w:t>GENERAL</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DEVELOPMENT OF THE BUSINESS - FISCAL 2021 - </w:t>
            </w:r>
            <w:r>
              <w:rPr>
                <w:rFonts w:ascii="Times New Roman" w:cs="Times New Roman" w:eastAsia="Times New Roman" w:hAnsi="Times New Roman"/>
                <w:sz w:val="18"/>
                <w:szCs w:val="18"/>
                <w:color w:val="auto"/>
              </w:rPr>
              <w:t>C. Debt Financing - Galaxy Digital LLC.</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7, 2021 Offering</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January 2021 private placement offering of 8,888,889 Common Shares and associated warrants as per described in</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B. Private Placements.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13, 2021 Offering</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January 2021 private placement offering of 5,586,593 Common Shares and associated warrants as per described in</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B. Private Placements.</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July 2021 Hosting Agreement</w:t>
            </w: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hosting agreement entered into by the Company for 12 MW in Washington State, US entered into on November 11,</w:t>
            </w:r>
          </w:p>
        </w:tc>
      </w:tr>
      <w:tr>
        <w:trPr>
          <w:trHeight w:val="214"/>
        </w:trPr>
        <w:tc>
          <w:tcPr>
            <w:tcW w:w="2380" w:type="dxa"/>
            <w:vAlign w:val="bottom"/>
          </w:tcPr>
          <w:p>
            <w:pPr>
              <w:spacing w:after="0"/>
              <w:rPr>
                <w:sz w:val="18"/>
                <w:szCs w:val="18"/>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and terminated upon the closing of the November 2021 Washington Acquisition as per described in  Section 3 -</w:t>
            </w:r>
          </w:p>
        </w:tc>
      </w:tr>
      <w:tr>
        <w:trPr>
          <w:trHeight w:val="236"/>
        </w:trPr>
        <w:tc>
          <w:tcPr>
            <w:tcW w:w="2380" w:type="dxa"/>
            <w:vAlign w:val="bottom"/>
          </w:tcPr>
          <w:p>
            <w:pPr>
              <w:spacing w:after="0"/>
              <w:rPr>
                <w:sz w:val="20"/>
                <w:szCs w:val="20"/>
                <w:color w:val="auto"/>
              </w:rPr>
            </w:pPr>
          </w:p>
        </w:tc>
        <w:tc>
          <w:tcPr>
            <w:tcW w:w="88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GENERAL DEVELOPMENT OF THE BUSINESS - FISCAL 2021 - </w:t>
            </w:r>
            <w:r>
              <w:rPr>
                <w:rFonts w:ascii="Times New Roman" w:cs="Times New Roman" w:eastAsia="Times New Roman" w:hAnsi="Times New Roman"/>
                <w:sz w:val="18"/>
                <w:szCs w:val="18"/>
                <w:color w:val="auto"/>
              </w:rPr>
              <w:t>J. Washington Expansion.</w:t>
            </w:r>
          </w:p>
        </w:tc>
      </w:tr>
      <w:tr>
        <w:trPr>
          <w:trHeight w:val="27"/>
        </w:trPr>
        <w:tc>
          <w:tcPr>
            <w:tcW w:w="238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66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 | Page</w:t>
            </w:r>
          </w:p>
        </w:tc>
        <w:tc>
          <w:tcPr>
            <w:tcW w:w="8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GLOSSARY OF DEFINED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2022 NYDIG Financing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equipment financing agreement dated June 17, 2022 between the Company and NYDIG for initial funding of</w:t>
            </w:r>
          </w:p>
        </w:tc>
      </w:tr>
      <w:tr>
        <w:trPr>
          <w:trHeight w:val="218"/>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US$37,000,000 as described in Section 3 - </w:t>
            </w:r>
            <w:r>
              <w:rPr>
                <w:rFonts w:ascii="Times New Roman" w:cs="Times New Roman" w:eastAsia="Times New Roman" w:hAnsi="Times New Roman"/>
                <w:sz w:val="18"/>
                <w:szCs w:val="18"/>
                <w:i w:val="1"/>
                <w:iCs w:val="1"/>
                <w:color w:val="auto"/>
              </w:rPr>
              <w:t>GENERAL DEVELOPMENT OF THE BUSINESS - FISCAL 2022</w:t>
            </w:r>
            <w:r>
              <w:rPr>
                <w:rFonts w:ascii="Times New Roman" w:cs="Times New Roman" w:eastAsia="Times New Roman" w:hAnsi="Times New Roman"/>
                <w:sz w:val="18"/>
                <w:szCs w:val="18"/>
                <w:color w:val="auto"/>
              </w:rPr>
              <w:t xml:space="preserve"> - C. Debt</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Leger</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The Company’s 36,000 square foot facility in Sherbrooke, Québec as per described in Section 3 - </w:t>
            </w:r>
            <w:r>
              <w:rPr>
                <w:rFonts w:ascii="Times New Roman" w:cs="Times New Roman" w:eastAsia="Times New Roman" w:hAnsi="Times New Roman"/>
                <w:sz w:val="18"/>
                <w:szCs w:val="18"/>
                <w:i w:val="1"/>
                <w:iCs w:val="1"/>
                <w:color w:val="auto"/>
              </w:rPr>
              <w:t>GENERAL</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DEVELOPMENT OF THE BUSINESS - FISCAL 2021 </w:t>
            </w:r>
            <w:r>
              <w:rPr>
                <w:rFonts w:ascii="Times New Roman" w:cs="Times New Roman" w:eastAsia="Times New Roman" w:hAnsi="Times New Roman"/>
                <w:sz w:val="18"/>
                <w:szCs w:val="18"/>
                <w:color w:val="auto"/>
              </w:rPr>
              <w:t>- I. Quebec Expansion.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 Warrants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2021 -</w:t>
            </w:r>
            <w:r>
              <w:rPr>
                <w:rFonts w:ascii="Times New Roman" w:cs="Times New Roman" w:eastAsia="Times New Roman" w:hAnsi="Times New Roman"/>
                <w:sz w:val="18"/>
                <w:szCs w:val="18"/>
                <w:color w:val="auto"/>
              </w:rPr>
              <w:t xml:space="preserve"> C.</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LHA IR Agreement</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F. IR</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5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LPZ</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LPZ Hosting S.A.S, as described in Section 5.2 - </w:t>
            </w:r>
            <w:r>
              <w:rPr>
                <w:rFonts w:ascii="Times New Roman" w:cs="Times New Roman" w:eastAsia="Times New Roman" w:hAnsi="Times New Roman"/>
                <w:sz w:val="18"/>
                <w:szCs w:val="18"/>
                <w:i w:val="1"/>
                <w:iCs w:val="1"/>
                <w:color w:val="auto"/>
              </w:rPr>
              <w:t>FUTURE GROWTH PLANS - ARGENTINA EXPANSION.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2021 Offering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May 2021 private placement of 14,150,940 Common Shares and associated warrants as per described in Section 3 -</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GENERAL DEVELOPMENT OF THE BUSINESS - FISCAL 2021 - B. Private Placements.</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MD&amp;A</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Bitfarms for the fiscal year ended December 31, 2023. as per described in</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Section 1.1 - </w:t>
            </w:r>
            <w:r>
              <w:rPr>
                <w:rFonts w:ascii="Times New Roman" w:cs="Times New Roman" w:eastAsia="Times New Roman" w:hAnsi="Times New Roman"/>
                <w:sz w:val="18"/>
                <w:szCs w:val="18"/>
                <w:i w:val="1"/>
                <w:iCs w:val="1"/>
                <w:color w:val="auto"/>
              </w:rPr>
              <w:t>GENERAL INFORMATION - INFORMATION REGARDING BITFARMS.</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 computer configured for the purpose of performing blockchain computer operations. See Section 4.1 - </w:t>
            </w:r>
            <w:r>
              <w:rPr>
                <w:rFonts w:ascii="Times New Roman" w:cs="Times New Roman" w:eastAsia="Times New Roman" w:hAnsi="Times New Roman"/>
                <w:sz w:val="18"/>
                <w:szCs w:val="18"/>
                <w:i w:val="1"/>
                <w:iCs w:val="1"/>
                <w:color w:val="auto"/>
              </w:rPr>
              <w:t>DESCRIPTION</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OF BUSINESS - GENERAL.</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Mine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Mining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process of using Miners to provide the service of verifying and validating cryptographic blockchain transactions and</w:t>
            </w:r>
          </w:p>
        </w:tc>
      </w:tr>
      <w:tr>
        <w:trPr>
          <w:trHeight w:val="216"/>
        </w:trPr>
        <w:tc>
          <w:tcPr>
            <w:tcW w:w="2360" w:type="dxa"/>
            <w:vAlign w:val="bottom"/>
          </w:tcPr>
          <w:p>
            <w:pPr>
              <w:spacing w:after="0"/>
              <w:rPr>
                <w:sz w:val="18"/>
                <w:szCs w:val="18"/>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being rewarded with cryptocurrency in return for such service.  See Section 4.1 - </w:t>
            </w:r>
            <w:r>
              <w:rPr>
                <w:rFonts w:ascii="Times New Roman" w:cs="Times New Roman" w:eastAsia="Times New Roman" w:hAnsi="Times New Roman"/>
                <w:sz w:val="18"/>
                <w:szCs w:val="18"/>
                <w:i w:val="1"/>
                <w:iCs w:val="1"/>
                <w:color w:val="auto"/>
              </w:rPr>
              <w:t>DESCRIPTION OF BUSINESS -</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GENERAL.</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5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Refers to when cryptocurrency Miners aggregate their processing power over a network and Mine transactions together.</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5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52-110</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National Instrument 52-110 – Audit Committees as per described in Section 15.1 - </w:t>
            </w:r>
            <w:r>
              <w:rPr>
                <w:rFonts w:ascii="Times New Roman" w:cs="Times New Roman" w:eastAsia="Times New Roman" w:hAnsi="Times New Roman"/>
                <w:sz w:val="18"/>
                <w:szCs w:val="18"/>
                <w:i w:val="1"/>
                <w:iCs w:val="1"/>
                <w:color w:val="auto"/>
              </w:rPr>
              <w:t>COMMITTEES  - AUDIT</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COMMITTEE.</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NEO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Named Executive</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ascribed to that term in Form 51-102F6 </w:t>
            </w:r>
            <w:r>
              <w:rPr>
                <w:rFonts w:ascii="Times New Roman" w:cs="Times New Roman" w:eastAsia="Times New Roman" w:hAnsi="Times New Roman"/>
                <w:sz w:val="18"/>
                <w:szCs w:val="18"/>
                <w:i w:val="1"/>
                <w:iCs w:val="1"/>
                <w:color w:val="auto"/>
              </w:rPr>
              <w:t>Statement of Executive Compensation.</w:t>
            </w:r>
            <w:r>
              <w:rPr>
                <w:rFonts w:ascii="Times New Roman" w:cs="Times New Roman" w:eastAsia="Times New Roman" w:hAnsi="Times New Roman"/>
                <w:sz w:val="18"/>
                <w:szCs w:val="18"/>
                <w:color w:val="auto"/>
              </w:rPr>
              <w:t xml:space="preserve"> See section 15.3 -</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COMMITTEES - COMPENSATION COMMITTEE.</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2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2021 Washington</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Company’s acquisition of a Bitcoin Mining production facility in Washington State, US on November 11, 2021</w:t>
            </w:r>
          </w:p>
        </w:tc>
      </w:tr>
      <w:tr>
        <w:trPr>
          <w:trHeight w:val="22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as  provided for in Section 3 - </w:t>
            </w:r>
            <w:r>
              <w:rPr>
                <w:rFonts w:ascii="Times New Roman" w:cs="Times New Roman" w:eastAsia="Times New Roman" w:hAnsi="Times New Roman"/>
                <w:sz w:val="18"/>
                <w:szCs w:val="18"/>
                <w:i w:val="1"/>
                <w:iCs w:val="1"/>
                <w:color w:val="auto"/>
              </w:rPr>
              <w:t>GENERAL DEVELOPMENT OF THE BUSINESS - FISCAL 2021 -</w:t>
            </w:r>
            <w:r>
              <w:rPr>
                <w:rFonts w:ascii="Times New Roman" w:cs="Times New Roman" w:eastAsia="Times New Roman" w:hAnsi="Times New Roman"/>
                <w:sz w:val="18"/>
                <w:szCs w:val="18"/>
                <w:color w:val="auto"/>
              </w:rPr>
              <w:t xml:space="preserve"> J. Washington</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Expansion.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NYDIG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NYDIG ABL LLC as per described in Section 3 - </w:t>
            </w:r>
            <w:r>
              <w:rPr>
                <w:rFonts w:ascii="Times New Roman" w:cs="Times New Roman" w:eastAsia="Times New Roman" w:hAnsi="Times New Roman"/>
                <w:sz w:val="18"/>
                <w:szCs w:val="18"/>
                <w:i w:val="1"/>
                <w:iCs w:val="1"/>
                <w:color w:val="auto"/>
              </w:rPr>
              <w:t>GENERAL DEVELOPMENT OF THE BUSINESS - FISCAL 2022</w:t>
            </w:r>
            <w:r>
              <w:rPr>
                <w:rFonts w:ascii="Times New Roman" w:cs="Times New Roman" w:eastAsia="Times New Roman" w:hAnsi="Times New Roman"/>
                <w:sz w:val="18"/>
                <w:szCs w:val="18"/>
                <w:color w:val="auto"/>
              </w:rPr>
              <w:t xml:space="preserve"> - C.</w:t>
            </w:r>
          </w:p>
        </w:tc>
      </w:tr>
      <w:tr>
        <w:trPr>
          <w:trHeight w:val="234"/>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Financing.</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2023 Offering</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November 2023 private placement of 44,444,446 common shares and associated warrants as per described in</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Section 3 - </w:t>
            </w:r>
            <w:r>
              <w:rPr>
                <w:rFonts w:ascii="Times New Roman" w:cs="Times New Roman" w:eastAsia="Times New Roman" w:hAnsi="Times New Roman"/>
                <w:sz w:val="18"/>
                <w:szCs w:val="18"/>
                <w:i w:val="1"/>
                <w:iCs w:val="1"/>
                <w:color w:val="auto"/>
              </w:rPr>
              <w:t>GENERAL DEVELOPMENT OF THE BUSINESS - FISCAL 2023</w:t>
            </w:r>
            <w:r>
              <w:rPr>
                <w:rFonts w:ascii="Times New Roman" w:cs="Times New Roman" w:eastAsia="Times New Roman" w:hAnsi="Times New Roman"/>
                <w:sz w:val="18"/>
                <w:szCs w:val="18"/>
                <w:color w:val="auto"/>
              </w:rPr>
              <w:t xml:space="preserve"> - D. 2023 Private Placements.</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2023 SFBS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final base shelf short form prospectus filed by the Company on November 10, 2023 as described in Section 3 -</w:t>
            </w:r>
          </w:p>
        </w:tc>
      </w:t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GENERAL DEVELOPMENT OF THE BUSINESS - FISCAL 2023 - </w:t>
            </w:r>
            <w:r>
              <w:rPr>
                <w:rFonts w:ascii="Times New Roman" w:cs="Times New Roman" w:eastAsia="Times New Roman" w:hAnsi="Times New Roman"/>
                <w:sz w:val="18"/>
                <w:szCs w:val="18"/>
                <w:color w:val="auto"/>
              </w:rPr>
              <w:t>E. Prospectus Filings.</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OBCA</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The  Ontario  Business  Corporations  Act  as  per  described  in  Section  2.1  -  </w:t>
            </w:r>
            <w:r>
              <w:rPr>
                <w:rFonts w:ascii="Times New Roman" w:cs="Times New Roman" w:eastAsia="Times New Roman" w:hAnsi="Times New Roman"/>
                <w:sz w:val="18"/>
                <w:szCs w:val="18"/>
                <w:i w:val="1"/>
                <w:iCs w:val="1"/>
                <w:color w:val="auto"/>
              </w:rPr>
              <w:t>CORPORATE  STRUCTURE  -</w:t>
            </w:r>
          </w:p>
        </w:tc>
      </w:tr>
      <w:tr>
        <w:trPr>
          <w:trHeight w:val="236"/>
        </w:trPr>
        <w:tc>
          <w:tcPr>
            <w:tcW w:w="2360" w:type="dxa"/>
            <w:vAlign w:val="bottom"/>
          </w:tcPr>
          <w:p>
            <w:pPr>
              <w:spacing w:after="0"/>
              <w:rPr>
                <w:sz w:val="20"/>
                <w:szCs w:val="20"/>
                <w:color w:val="auto"/>
              </w:rPr>
            </w:pP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INCORPORATION OF THE COMPANY.</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23"/>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Petahash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PH </w:t>
            </w:r>
            <w:r>
              <w:rPr>
                <w:rFonts w:ascii="Times New Roman" w:cs="Times New Roman" w:eastAsia="Times New Roman" w:hAnsi="Times New Roman"/>
                <w:sz w:val="18"/>
                <w:szCs w:val="18"/>
                <w:color w:val="auto"/>
              </w:rPr>
              <w:t>and</w:t>
            </w:r>
          </w:p>
        </w:tc>
        <w:tc>
          <w:tcPr>
            <w:tcW w:w="8880" w:type="dxa"/>
            <w:vAlign w:val="bottom"/>
          </w:tcPr>
          <w:p>
            <w:pPr>
              <w:ind w:left="140"/>
              <w:spacing w:after="0" w:line="223" w:lineRule="exact"/>
              <w:rPr>
                <w:sz w:val="20"/>
                <w:szCs w:val="20"/>
                <w:color w:val="auto"/>
              </w:rPr>
            </w:pPr>
            <w:r>
              <w:rPr>
                <w:rFonts w:ascii="Times New Roman" w:cs="Times New Roman" w:eastAsia="Times New Roman" w:hAnsi="Times New Roman"/>
                <w:sz w:val="16"/>
                <w:szCs w:val="16"/>
                <w:color w:val="auto"/>
              </w:rPr>
              <w:t>Mean, respectively, 1x10</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16"/>
                <w:szCs w:val="16"/>
                <w:color w:val="auto"/>
              </w:rPr>
              <w:t xml:space="preserve"> and 1x10</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6"/>
                <w:szCs w:val="16"/>
                <w:color w:val="auto"/>
              </w:rPr>
              <w:t xml:space="preserve"> Hashes.</w:t>
            </w:r>
          </w:p>
        </w:tc>
      </w:tr>
      <w:tr>
        <w:trPr>
          <w:trHeight w:val="250"/>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Exahash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EH</w:t>
            </w:r>
          </w:p>
        </w:tc>
        <w:tc>
          <w:tcPr>
            <w:tcW w:w="8880" w:type="dxa"/>
            <w:vAlign w:val="bottom"/>
            <w:tcBorders>
              <w:bottom w:val="single" w:sz="8" w:color="auto"/>
            </w:tcBorders>
          </w:tcPr>
          <w:p>
            <w:pPr>
              <w:spacing w:after="0"/>
              <w:rPr>
                <w:sz w:val="21"/>
                <w:szCs w:val="21"/>
                <w:color w:val="auto"/>
              </w:rPr>
            </w:pP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Power Producer</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Has the meaning ascribed to that term in Section 5.2 - </w:t>
            </w:r>
            <w:r>
              <w:rPr>
                <w:rFonts w:ascii="Times New Roman" w:cs="Times New Roman" w:eastAsia="Times New Roman" w:hAnsi="Times New Roman"/>
                <w:sz w:val="18"/>
                <w:szCs w:val="18"/>
                <w:i w:val="1"/>
                <w:iCs w:val="1"/>
                <w:color w:val="auto"/>
              </w:rPr>
              <w:t>FUTURE GROWTH PLANS - ARGENTINA EXPANSION.</w:t>
            </w:r>
          </w:p>
        </w:tc>
      </w:tr>
      <w:tr>
        <w:trPr>
          <w:trHeight w:val="27"/>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669"/>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 | Page</w:t>
            </w: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GLOSSARY OF DEFINED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PROA</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Proyectos y Obras Americanas S.A. as per described in Section 3 - </w:t>
            </w:r>
            <w:r>
              <w:rPr>
                <w:rFonts w:ascii="Times New Roman" w:cs="Times New Roman" w:eastAsia="Times New Roman" w:hAnsi="Times New Roman"/>
                <w:sz w:val="18"/>
                <w:szCs w:val="18"/>
                <w:i w:val="1"/>
                <w:iCs w:val="1"/>
                <w:color w:val="auto"/>
              </w:rPr>
              <w:t>GENERAL DEVELOPMENT OF THE BUSINESS -</w:t>
            </w:r>
          </w:p>
        </w:tc>
      </w:tr>
      <w:tr>
        <w:trPr>
          <w:trHeight w:val="236"/>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FISCAL 2021 </w:t>
            </w:r>
            <w:r>
              <w:rPr>
                <w:rFonts w:ascii="Times New Roman" w:cs="Times New Roman" w:eastAsia="Times New Roman" w:hAnsi="Times New Roman"/>
                <w:sz w:val="18"/>
                <w:szCs w:val="18"/>
                <w:color w:val="auto"/>
              </w:rPr>
              <w:t>- K. Argentina Expansion.</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PSU</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Power supply unit. See Section 4.14 - </w:t>
            </w:r>
            <w:r>
              <w:rPr>
                <w:rFonts w:ascii="Times New Roman" w:cs="Times New Roman" w:eastAsia="Times New Roman" w:hAnsi="Times New Roman"/>
                <w:sz w:val="18"/>
                <w:szCs w:val="18"/>
                <w:i w:val="1"/>
                <w:iCs w:val="1"/>
                <w:color w:val="auto"/>
              </w:rPr>
              <w:t>DESCRIPTION OF BUSINESS - HARDWARE AND SOFTWARE.</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Rio Cuarto Facility</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facility located in the Province of Córdoba, Argentina, for which the Company entered into an eight-year lease</w:t>
            </w:r>
          </w:p>
        </w:tc>
      </w:tr>
      <w:tr>
        <w:trPr>
          <w:trHeight w:val="236"/>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agreement in July 2021. See Section 5.2 - </w:t>
            </w:r>
            <w:r>
              <w:rPr>
                <w:rFonts w:ascii="Times New Roman" w:cs="Times New Roman" w:eastAsia="Times New Roman" w:hAnsi="Times New Roman"/>
                <w:sz w:val="18"/>
                <w:szCs w:val="18"/>
                <w:i w:val="1"/>
                <w:iCs w:val="1"/>
                <w:color w:val="auto"/>
              </w:rPr>
              <w:t>FUTURE GROWTH PLANS - ARGENTINA EXPANSION.</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U.S. Securities and Exchange Commission.</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2"/>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Server farms</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Specialized computers often held in large warehouses where the computers, also known as Miners, validate and verify</w:t>
            </w:r>
          </w:p>
        </w:tc>
      </w:tr>
      <w:tr>
        <w:trPr>
          <w:trHeight w:val="216"/>
        </w:trPr>
        <w:tc>
          <w:tcPr>
            <w:tcW w:w="2240" w:type="dxa"/>
            <w:vAlign w:val="bottom"/>
          </w:tcPr>
          <w:p>
            <w:pPr>
              <w:spacing w:after="0"/>
              <w:rPr>
                <w:sz w:val="18"/>
                <w:szCs w:val="18"/>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transactions on a public blockchain. Digital coins or tokens are issued by the applicable cryptocurrency network when</w:t>
            </w:r>
          </w:p>
        </w:tc>
      </w:tr>
      <w:tr>
        <w:trPr>
          <w:trHeight w:val="234"/>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miners solve hash functions.</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Sherbrooke Expansion</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planned and completed construction of server farm facilities in stages in Sherbrooke, Québec.</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Synthetic HODL is the use of financial instruments to create BTC-equivalent exposure.</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Tranche #2 Restructuring</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C</w:t>
            </w:r>
          </w:p>
        </w:tc>
      </w:tr>
      <w:tr>
        <w:trPr>
          <w:trHeight w:val="234"/>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Financing.</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Tranche #3 Restructuring</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Has the meaning as provided for in Section 3 - </w:t>
            </w:r>
            <w:r>
              <w:rPr>
                <w:rFonts w:ascii="Times New Roman" w:cs="Times New Roman" w:eastAsia="Times New Roman" w:hAnsi="Times New Roman"/>
                <w:sz w:val="18"/>
                <w:szCs w:val="18"/>
                <w:i w:val="1"/>
                <w:iCs w:val="1"/>
                <w:color w:val="auto"/>
              </w:rPr>
              <w:t>GENERAL DEVELOPMENT OF THE BUSINESS - FISCAL 2021</w:t>
            </w:r>
            <w:r>
              <w:rPr>
                <w:rFonts w:ascii="Times New Roman" w:cs="Times New Roman" w:eastAsia="Times New Roman" w:hAnsi="Times New Roman"/>
                <w:sz w:val="18"/>
                <w:szCs w:val="18"/>
                <w:color w:val="auto"/>
              </w:rPr>
              <w:t xml:space="preserve"> - C</w:t>
            </w:r>
          </w:p>
        </w:tc>
      </w:tr>
      <w:tr>
        <w:trPr>
          <w:trHeight w:val="234"/>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Debt Financing.</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TSX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Exchange</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Toronto Stock Exchange.</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TSXV</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TSX Venture Exchange.</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Villarrica Facility</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The Company’s 10 MW facility located in Villarrica, Paraguay. See Section 3 - </w:t>
            </w:r>
            <w:r>
              <w:rPr>
                <w:rFonts w:ascii="Times New Roman" w:cs="Times New Roman" w:eastAsia="Times New Roman" w:hAnsi="Times New Roman"/>
                <w:sz w:val="18"/>
                <w:szCs w:val="18"/>
                <w:i w:val="1"/>
                <w:iCs w:val="1"/>
                <w:color w:val="auto"/>
              </w:rPr>
              <w:t>GENERAL DEVELOPMENT OF THE</w:t>
            </w:r>
          </w:p>
        </w:tc>
      </w:tr>
      <w:tr>
        <w:trPr>
          <w:trHeight w:val="236"/>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BUSINESS - FISCAL 2021 </w:t>
            </w:r>
            <w:r>
              <w:rPr>
                <w:rFonts w:ascii="Times New Roman" w:cs="Times New Roman" w:eastAsia="Times New Roman" w:hAnsi="Times New Roman"/>
                <w:sz w:val="18"/>
                <w:szCs w:val="18"/>
                <w:color w:val="auto"/>
              </w:rPr>
              <w:t>- L. Paraguay Expansion.</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Volta</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9159-9290 Québec Inc., a wholly owned subsidiary of the Company, which also operates under the name Volta</w:t>
            </w:r>
          </w:p>
        </w:tc>
      </w:tr>
      <w:tr>
        <w:trPr>
          <w:trHeight w:val="234"/>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Électrique Inc.</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Has the meaning ascribed thereto in “PRIOR SALES” in Section 8.3 - </w:t>
            </w:r>
            <w:r>
              <w:rPr>
                <w:rFonts w:ascii="Times New Roman" w:cs="Times New Roman" w:eastAsia="Times New Roman" w:hAnsi="Times New Roman"/>
                <w:sz w:val="18"/>
                <w:szCs w:val="18"/>
                <w:i w:val="1"/>
                <w:iCs w:val="1"/>
                <w:color w:val="auto"/>
              </w:rPr>
              <w:t>MARKET FOR SECURITIES - MARKET FOR</w:t>
            </w:r>
          </w:p>
        </w:tc>
      </w:tr>
      <w:tr>
        <w:trPr>
          <w:trHeight w:val="236"/>
        </w:trPr>
        <w:tc>
          <w:tcPr>
            <w:tcW w:w="2240" w:type="dxa"/>
            <w:vAlign w:val="bottom"/>
          </w:tcPr>
          <w:p>
            <w:pPr>
              <w:spacing w:after="0"/>
              <w:rPr>
                <w:sz w:val="20"/>
                <w:szCs w:val="20"/>
                <w:color w:val="auto"/>
              </w:rPr>
            </w:pPr>
          </w:p>
        </w:tc>
        <w:tc>
          <w:tcPr>
            <w:tcW w:w="900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SECURITIES - PRIOR SALES.</w:t>
            </w:r>
          </w:p>
        </w:tc>
      </w:tr>
      <w:tr>
        <w:trPr>
          <w:trHeight w:val="27"/>
        </w:trPr>
        <w:tc>
          <w:tcPr>
            <w:tcW w:w="224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641"/>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 | Page</w:t>
            </w: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INFORMATION REGARDING BITFARMS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this annual information form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Bitfarms Ltd., together with its subsidiaries, as the context requires, is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All information contained in this AIF is as of March 6, 2024, unless otherwise stated.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in this AIF to the Financial Statements, together with the auditor’s report thereon, and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for Bitfarms for Fiscal 2023. The Financial Statements and MD&amp;A are available for review on the SEDAR+ website located at www.sedarplus.ca and on the U.S. Securities and Exchange Commission’s EDGAR website at www.sec.gov/EDGAR.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EXEMPTION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relying on any exemptions of NI 52-110.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CURRENCY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references to “$”, “US$” or “dollars” refer to United States dollars, and references to CAD$ refer to Canadian dollars.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AIF contains forward-looking statements about the Company’s objectives, plans, goals, aspirations, strategies, financial condition, results of operations, cash flows, performance, prospects, opportunities and legal and regulatory matters. Specific forward-looking statements in this AIF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 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GENERAL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above is not an exhaustive list of the factors that may affect the Company’s forward-looking statements. For a more comprehensive discussion of factors that could affect the Company, refer to the risk factors contained in the Section 4.19 - </w:t>
      </w:r>
      <w:r>
        <w:rPr>
          <w:rFonts w:ascii="Times New Roman" w:cs="Times New Roman" w:eastAsia="Times New Roman" w:hAnsi="Times New Roman"/>
          <w:sz w:val="18"/>
          <w:szCs w:val="18"/>
          <w:i w:val="1"/>
          <w:iCs w:val="1"/>
          <w:color w:val="auto"/>
        </w:rPr>
        <w:t>RISK FACTORS of this AIF</w:t>
      </w:r>
      <w:r>
        <w:rPr>
          <w:rFonts w:ascii="Times New Roman" w:cs="Times New Roman" w:eastAsia="Times New Roman" w:hAnsi="Times New Roman"/>
          <w:sz w:val="18"/>
          <w:szCs w:val="18"/>
          <w:color w:val="auto"/>
        </w:rPr>
        <w:t>.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AIF. Except as required by law, the Company does not undertake to update or revise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CORPORATE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INCORPORATION OF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was incorporated under the Canada Business Corporations Act on October 11, 2018, and continued under the Business Corporations Act (Ontario)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on August 27, 2021. Bitfarms has its registered and head office located at 110 Yonge Street, Suite 1601, Toronto ON M5C 1T4. The Company’s common shares are listed under the symbol “BITF”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and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has the following main controlled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154305</wp:posOffset>
            </wp:positionV>
            <wp:extent cx="5572125" cy="3008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212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GENERAL DEVELOPMENT OF THE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highlights relating to the development of the Company’s business over the past three years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Board and Management Changes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2021, the following changes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Management were made:</w:t>
      </w:r>
    </w:p>
    <w:p>
      <w:pPr>
        <w:spacing w:after="0" w:line="229" w:lineRule="exact"/>
        <w:rPr>
          <w:sz w:val="20"/>
          <w:szCs w:val="20"/>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14, 2021, Mathieu Vachon resigned as the Chief Information Officer and director of the Company.</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2021, Darcy Donelle was appointed as Vice-President of Corporate Development.</w:t>
      </w:r>
    </w:p>
    <w:p>
      <w:pPr>
        <w:spacing w:after="0" w:line="225" w:lineRule="exact"/>
        <w:rPr>
          <w:rFonts w:ascii="Times New Roman" w:cs="Times New Roman" w:eastAsia="Times New Roman" w:hAnsi="Times New Roman"/>
          <w:sz w:val="18"/>
          <w:szCs w:val="18"/>
          <w:color w:val="auto"/>
        </w:rPr>
      </w:pPr>
    </w:p>
    <w:p>
      <w:pPr>
        <w:jc w:val="both"/>
        <w:ind w:left="620" w:hanging="302"/>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2021, the Company announced Jeffrey Lucas was appointed as Chief Financial Officer of the Company effective June 14, 2021, and was issued 364,050 incentive stock options exercisable into one common share at a price of CAD$5.45 for a period of five years, pursuant to the Company’s stock option plan.</w:t>
      </w:r>
    </w:p>
    <w:p>
      <w:pPr>
        <w:spacing w:after="0" w:line="175"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 2021, the Company announced Ben Gagnon was appointed Chief Mining Officer and Nathaniel Port, Director of Finance, was appointed Senior Vice President of Finance and Accounting, both effective June 1, 2021.</w:t>
      </w:r>
    </w:p>
    <w:p>
      <w:pPr>
        <w:spacing w:after="0" w:line="16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2021, Darcy Donelle resigned as Vice President of Corporate Development.</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Patricia Osorio was appointed as Vice President of Corporate Affairs.</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2021, Benoit Gobeil was appointed as Senior Vice President of Operations and Infrastructure.</w:t>
      </w:r>
    </w:p>
    <w:p>
      <w:pPr>
        <w:spacing w:after="0" w:line="225"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2021, Geoff Morphy was appointed as Chief Operating Officer in addition to his role as President of the Company.</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 Private Placements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2021, the Company closed a private placement (the “</w:t>
      </w:r>
      <w:r>
        <w:rPr>
          <w:rFonts w:ascii="Times New Roman" w:cs="Times New Roman" w:eastAsia="Times New Roman" w:hAnsi="Times New Roman"/>
          <w:sz w:val="18"/>
          <w:szCs w:val="18"/>
          <w:b w:val="1"/>
          <w:bCs w:val="1"/>
          <w:color w:val="auto"/>
        </w:rPr>
        <w:t>January 7, 2021 Offering</w:t>
      </w:r>
      <w:r>
        <w:rPr>
          <w:rFonts w:ascii="Times New Roman" w:cs="Times New Roman" w:eastAsia="Times New Roman" w:hAnsi="Times New Roman"/>
          <w:sz w:val="18"/>
          <w:szCs w:val="18"/>
          <w:color w:val="auto"/>
        </w:rPr>
        <w:t>”) for gross proceeds of approximately CAD$20.0 million, comprised of 8,888,889 common shares along with warrants to purchase an aggregate of up to 8,888,889 common shares at a purchase price of CAD$2.25 per common share and associated warrant. The warrants have an exercise price of CAD$2.75 per common share and an exercise period of three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7, 2021 Offering and (ii) broker warrants exercisable for up to 711,111 common shares of the Company at a per share price of CAD$2.81 at any time on or before January 8,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FISCAL 2021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 Private Placements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13, 2021, the Company closed a private placement (the “</w:t>
      </w:r>
      <w:r>
        <w:rPr>
          <w:rFonts w:ascii="Times New Roman" w:cs="Times New Roman" w:eastAsia="Times New Roman" w:hAnsi="Times New Roman"/>
          <w:sz w:val="18"/>
          <w:szCs w:val="18"/>
          <w:b w:val="1"/>
          <w:bCs w:val="1"/>
          <w:color w:val="auto"/>
        </w:rPr>
        <w:t>January 13, 2021 Offering</w:t>
      </w:r>
      <w:r>
        <w:rPr>
          <w:rFonts w:ascii="Times New Roman" w:cs="Times New Roman" w:eastAsia="Times New Roman" w:hAnsi="Times New Roman"/>
          <w:sz w:val="18"/>
          <w:szCs w:val="18"/>
          <w:color w:val="auto"/>
        </w:rPr>
        <w:t>”) for gross proceeds of approximately CAD$20.0 million, comprised of 5,586,593 common shares along with warrants to purchase an aggregate of up to 5,586,593 common shares at a purchase price of CAD$3.58 per common share and associated warrant. The warrants have an exercise price of US$3.10 per common share and exercise period of three and a 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13, 2021 Offering and (ii) broker warrants exercisable for up to 446,927 common shares of the Company at a per share price of US$3.53 at any time on or before July 15,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 percent of the gross proceeds of the January 7, 2021 Offering and January 13, 2021 Offering were utilized to reduce the amount of the respective outstanding Loans due in March and November 2021.</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2021, the Company closed a private placement (the “</w:t>
      </w:r>
      <w:r>
        <w:rPr>
          <w:rFonts w:ascii="Times New Roman" w:cs="Times New Roman" w:eastAsia="Times New Roman" w:hAnsi="Times New Roman"/>
          <w:sz w:val="18"/>
          <w:szCs w:val="18"/>
          <w:b w:val="1"/>
          <w:bCs w:val="1"/>
          <w:color w:val="auto"/>
        </w:rPr>
        <w:t>February 2021 Offering</w:t>
      </w:r>
      <w:r>
        <w:rPr>
          <w:rFonts w:ascii="Times New Roman" w:cs="Times New Roman" w:eastAsia="Times New Roman" w:hAnsi="Times New Roman"/>
          <w:sz w:val="18"/>
          <w:szCs w:val="18"/>
          <w:color w:val="auto"/>
        </w:rPr>
        <w:t>”) for gross proceeds of approximately CAD$40.0 million, comprised of 11,560,695 common shares along with warrants to purchase an aggregate of up to 11,560,695 common shares at a purchase price of CAD$3.46 per common share and associated warrant. The warrants have an exercise price of US$3.01 per common share and exercise period of three and one-half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February 2021 Offering and (ii) broker warrants exercisable for up to 924,856 common shares of the Company at a per share price of US$3.39 at any time on or before August 12, 2024.</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20, 2021, the Company closed a private placement (the “</w:t>
      </w:r>
      <w:r>
        <w:rPr>
          <w:rFonts w:ascii="Times New Roman" w:cs="Times New Roman" w:eastAsia="Times New Roman" w:hAnsi="Times New Roman"/>
          <w:sz w:val="18"/>
          <w:szCs w:val="18"/>
          <w:b w:val="1"/>
          <w:bCs w:val="1"/>
          <w:color w:val="auto"/>
        </w:rPr>
        <w:t>May 2021 Offering</w:t>
      </w:r>
      <w:r>
        <w:rPr>
          <w:rFonts w:ascii="Times New Roman" w:cs="Times New Roman" w:eastAsia="Times New Roman" w:hAnsi="Times New Roman"/>
          <w:sz w:val="18"/>
          <w:szCs w:val="18"/>
          <w:color w:val="auto"/>
        </w:rPr>
        <w:t>”) for gross proceeds of approximately CAD$75.0 million, comprised of 14,150,940 common shares along with warrants to purchase an aggregate of up to 10,613,208 common shares at a purchase price of CAD$5.30 per common share and associated warrant. The warrants have an exercise price of US$4.87 per common share and an exercise period of three years (through May 20, 2024). The net proceeds were used by the Company principally to acquire additional miners, expand infrastructure and improve its working capital position. H.C. Wainwright &amp; Co. acted as the agent and received (i) a cash commission equal to 8.0% of the gross proceeds of the May 2021 Offering, and (ii) broker warrants exercisable for up to 1,132,076 common shares of the Company at a per share price of US$5.49 at any time on or before May 20,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Debt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Dominion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previously entered into a secured debt financing facility with Dominion Capital (“</w:t>
      </w:r>
      <w:r>
        <w:rPr>
          <w:rFonts w:ascii="Times New Roman" w:cs="Times New Roman" w:eastAsia="Times New Roman" w:hAnsi="Times New Roman"/>
          <w:sz w:val="18"/>
          <w:szCs w:val="18"/>
          <w:b w:val="1"/>
          <w:bCs w:val="1"/>
          <w:color w:val="auto"/>
        </w:rPr>
        <w:t>Dominion</w:t>
      </w:r>
      <w:r>
        <w:rPr>
          <w:rFonts w:ascii="Times New Roman" w:cs="Times New Roman" w:eastAsia="Times New Roman" w:hAnsi="Times New Roman"/>
          <w:sz w:val="18"/>
          <w:szCs w:val="18"/>
          <w:color w:val="auto"/>
        </w:rPr>
        <w:t>”) for up to $20 million (the “</w:t>
      </w:r>
      <w:r>
        <w:rPr>
          <w:rFonts w:ascii="Times New Roman" w:cs="Times New Roman" w:eastAsia="Times New Roman" w:hAnsi="Times New Roman"/>
          <w:sz w:val="18"/>
          <w:szCs w:val="18"/>
          <w:b w:val="1"/>
          <w:bCs w:val="1"/>
          <w:color w:val="auto"/>
        </w:rPr>
        <w:t>Dominion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on March 14, 2019. The Dominion Facility was structured into four separate loans in tranches of $5.0 Million, with each such tranche bearing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at 10% per annum on the initial principal balance of each tranche. The Company also agreed to issue 1,666,667 warrants (“</w:t>
      </w:r>
      <w:r>
        <w:rPr>
          <w:rFonts w:ascii="Times New Roman" w:cs="Times New Roman" w:eastAsia="Times New Roman" w:hAnsi="Times New Roman"/>
          <w:sz w:val="18"/>
          <w:szCs w:val="18"/>
          <w:b w:val="1"/>
          <w:bCs w:val="1"/>
          <w:color w:val="auto"/>
        </w:rPr>
        <w:t>Lender Warrants</w:t>
      </w:r>
      <w:r>
        <w:rPr>
          <w:rFonts w:ascii="Times New Roman" w:cs="Times New Roman" w:eastAsia="Times New Roman" w:hAnsi="Times New Roman"/>
          <w:sz w:val="18"/>
          <w:szCs w:val="18"/>
          <w:color w:val="auto"/>
        </w:rPr>
        <w:t>”) to purchase Bitfarms’ common shares at US$0.40 for each loan tranche drawn. In September 2020, the Company entered into an agreement with Dominion to amend its second loan tranche and third loan tranche. The amendment in respect of the second loan tranche of $5.0 Million resulted in the extension of the maturity date from the original due date of April 17, 2021, to November 1, 2021 (the “</w:t>
      </w:r>
      <w:r>
        <w:rPr>
          <w:rFonts w:ascii="Times New Roman" w:cs="Times New Roman" w:eastAsia="Times New Roman" w:hAnsi="Times New Roman"/>
          <w:sz w:val="18"/>
          <w:szCs w:val="18"/>
          <w:b w:val="1"/>
          <w:bCs w:val="1"/>
          <w:color w:val="auto"/>
        </w:rPr>
        <w:t>Tranche #2 Restructuring</w:t>
      </w:r>
      <w:r>
        <w:rPr>
          <w:rFonts w:ascii="Times New Roman" w:cs="Times New Roman" w:eastAsia="Times New Roman" w:hAnsi="Times New Roman"/>
          <w:sz w:val="18"/>
          <w:szCs w:val="18"/>
          <w:color w:val="auto"/>
        </w:rPr>
        <w:t>”). As consideration for the Tranche #2 Restructuring, the Company issued 1,000,000 common shares to Dominion, and reduced the term of the 1,666,667 warrants exercisable at US$0.40 from April 16, 2024, to November 1,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2021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Debt Financing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Dominion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 in respect of the third loan tranche of $5.0 million, due June 20, 2021, resulted in this tranche being made convertible, at the option of Dominion, into common shares at a fixed conversion of US$0.59 per share, representing a premium of approximately 100% to the then current market price of the common shares (the “</w:t>
      </w:r>
      <w:r>
        <w:rPr>
          <w:rFonts w:ascii="Times New Roman" w:cs="Times New Roman" w:eastAsia="Times New Roman" w:hAnsi="Times New Roman"/>
          <w:sz w:val="18"/>
          <w:szCs w:val="18"/>
          <w:b w:val="1"/>
          <w:bCs w:val="1"/>
          <w:color w:val="auto"/>
        </w:rPr>
        <w:t>Tranche #3 Restructuring</w:t>
      </w:r>
      <w:r>
        <w:rPr>
          <w:rFonts w:ascii="Times New Roman" w:cs="Times New Roman" w:eastAsia="Times New Roman" w:hAnsi="Times New Roman"/>
          <w:sz w:val="18"/>
          <w:szCs w:val="18"/>
          <w:color w:val="auto"/>
        </w:rPr>
        <w:t>”). Further, pursuant to the Tranche #3 Restructuring, the previously issued 1,666,667 warrants exercisable at US$0.40 per common share, expiring on June 20, 2024, were cancelled and 1,666,667 new warrants were issued at an exercise price of US$0.304 per share with an expiry date of June 20,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11, 2021, the Company received notice from Dominion of its election to convert $5.0 million, the principal amount of the third loan tranche, into equity. The conversion to equity took place in January 2021. An aggregate of 6,666,668 Lender Warrants have been issued for the loan agreements that have been drawn down pursuant to the Dominion Facility. As of February 2021, the Dominion Facility was repaid in its entirety and all Lender Warrants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Foundry Loans #1, #2, #3 and #4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herein as “Foundry Loans #1, #2, #3 and #4”, respectively. Foundry Loan #1 was fully repaid in Fiscal 2022 and Foundry Loans #2, #3 and #4 were fully repaid in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Galaxy Digital LLC</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December 30, 2021, the Company secured a US$100 million credit facility with Galaxy Digital LLC (the “</w:t>
      </w:r>
      <w:r>
        <w:rPr>
          <w:rFonts w:ascii="Times New Roman" w:cs="Times New Roman" w:eastAsia="Times New Roman" w:hAnsi="Times New Roman"/>
          <w:sz w:val="18"/>
          <w:szCs w:val="18"/>
          <w:b w:val="1"/>
          <w:bCs w:val="1"/>
          <w:color w:val="auto"/>
        </w:rPr>
        <w:t>December 2021 Debt Facility</w:t>
      </w:r>
      <w:r>
        <w:rPr>
          <w:rFonts w:ascii="Times New Roman" w:cs="Times New Roman" w:eastAsia="Times New Roman" w:hAnsi="Times New Roman"/>
          <w:sz w:val="18"/>
          <w:szCs w:val="18"/>
          <w:color w:val="auto"/>
        </w:rPr>
        <w:t>”). The December 2021 Debt Facility is a revolving, multi-draw credit facility that renews annually. The Company made an initial US$60 million draw with a six-month term at an interest rate of 10.75% per annum (the “</w:t>
      </w:r>
      <w:r>
        <w:rPr>
          <w:rFonts w:ascii="Times New Roman" w:cs="Times New Roman" w:eastAsia="Times New Roman" w:hAnsi="Times New Roman"/>
          <w:sz w:val="18"/>
          <w:szCs w:val="18"/>
          <w:b w:val="1"/>
          <w:bCs w:val="1"/>
          <w:color w:val="auto"/>
        </w:rPr>
        <w:t>Initial Draw</w:t>
      </w:r>
      <w:r>
        <w:rPr>
          <w:rFonts w:ascii="Times New Roman" w:cs="Times New Roman" w:eastAsia="Times New Roman" w:hAnsi="Times New Roman"/>
          <w:sz w:val="18"/>
          <w:szCs w:val="18"/>
          <w:color w:val="auto"/>
        </w:rPr>
        <w:t>”). The credit facility is secured by Bitcoin, with the minimum value of Bitcoin pledged as collateral calculated as 143% of the amount borrowed. The Initial Draw and the December 2021 Debt Facility were used for general corporate purposes and for the Company’s global growth initiatives. The December 2021 Debt Facility was fully repaid in December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Nasdaq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2021, the Company announced that its application to list its common stock on the Nasdaq Global Market had been approved by Nasdaq.</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2021, in connection with the Company’s listing on Nasdaq, the Company received “Depository Trust Company” (also known as “DTC”) eligibility for its common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2021, trading of the Company’s common shares on Nasdaq commenced under the symbol “BITF”.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2021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Prospectus Filings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12, 2021, the Company filed a preliminary base shelf short form prospectus in Canada.</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August 12, 2021, the Company filed a final base shelf short form prospectus (the “</w:t>
      </w:r>
      <w:r>
        <w:rPr>
          <w:rFonts w:ascii="Times New Roman" w:cs="Times New Roman" w:eastAsia="Times New Roman" w:hAnsi="Times New Roman"/>
          <w:sz w:val="18"/>
          <w:szCs w:val="18"/>
          <w:b w:val="1"/>
          <w:bCs w:val="1"/>
          <w:color w:val="auto"/>
        </w:rPr>
        <w:t>August SFBS Prospectus</w:t>
      </w:r>
      <w:r>
        <w:rPr>
          <w:rFonts w:ascii="Times New Roman" w:cs="Times New Roman" w:eastAsia="Times New Roman" w:hAnsi="Times New Roman"/>
          <w:sz w:val="18"/>
          <w:szCs w:val="18"/>
          <w:color w:val="auto"/>
        </w:rPr>
        <w:t>”) in Canada relating to the offering for sale of such number of securities of the Company as would result in aggregate gross proceeds of up to US$500 million, over a 25-month period.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August 13, 2021, the Company filed with the SEC a shelf registration statement on Form F-10 that included the August SFBS Prospectus (the “</w:t>
      </w:r>
      <w:r>
        <w:rPr>
          <w:rFonts w:ascii="Times New Roman" w:cs="Times New Roman" w:eastAsia="Times New Roman" w:hAnsi="Times New Roman"/>
          <w:sz w:val="18"/>
          <w:szCs w:val="18"/>
          <w:b w:val="1"/>
          <w:bCs w:val="1"/>
          <w:color w:val="auto"/>
        </w:rPr>
        <w:t>2021 F-10 Registration Statement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August 16, 2021, the Company commenced an at-the-market equity offering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by filing a prospectus supplement to the August SFBS Prospectus in Canada qualifying the distribution of up to US$500 million Common Shares through Nasdaq pursuant to an at-the-market offering agreement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dated August 16, 2021, between the Company and H.C. Wainwright &amp; Co. (the “</w:t>
      </w:r>
      <w:r>
        <w:rPr>
          <w:rFonts w:ascii="Times New Roman" w:cs="Times New Roman" w:eastAsia="Times New Roman" w:hAnsi="Times New Roman"/>
          <w:sz w:val="18"/>
          <w:szCs w:val="18"/>
          <w:b w:val="1"/>
          <w:bCs w:val="1"/>
          <w:color w:val="auto"/>
        </w:rPr>
        <w:t>ATM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17, 2021, the Company filed with the SEC the ATM Prospectus Supplement as a prospectus supplement to the 2021 F-10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IR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2021, the Company entered into an agreement to retain the services of CORE IR, an investor relations, public relations and shareholder communications firm (the “</w:t>
      </w:r>
      <w:r>
        <w:rPr>
          <w:rFonts w:ascii="Times New Roman" w:cs="Times New Roman" w:eastAsia="Times New Roman" w:hAnsi="Times New Roman"/>
          <w:sz w:val="18"/>
          <w:szCs w:val="18"/>
          <w:b w:val="1"/>
          <w:bCs w:val="1"/>
          <w:color w:val="auto"/>
        </w:rPr>
        <w:t>CORE IR Agreement</w:t>
      </w:r>
      <w:r>
        <w:rPr>
          <w:rFonts w:ascii="Times New Roman" w:cs="Times New Roman" w:eastAsia="Times New Roman" w:hAnsi="Times New Roman"/>
          <w:sz w:val="18"/>
          <w:szCs w:val="18"/>
          <w:color w:val="auto"/>
        </w:rPr>
        <w:t xml:space="preserve">”). Under the Core IR Agreement, the Company agreed to pay US$15,000 per month for an initial term of twelve months and made a one-time grant to CORE IR of 15,000 incentive stock options exercisable at a price of CAD$6.35 per share for a period of two years. The CORE IR Agreement was terminated as of October 2021. </w:t>
      </w:r>
      <w:r>
        <w:rPr>
          <w:rFonts w:ascii="Times New Roman" w:cs="Times New Roman" w:eastAsia="Times New Roman" w:hAnsi="Times New Roman"/>
          <w:sz w:val="18"/>
          <w:szCs w:val="18"/>
          <w:i w:val="1"/>
          <w:iCs w:val="1"/>
          <w:color w:val="auto"/>
        </w:rPr>
        <w:t>See Section 3 – GENERAL DEVELOPMENT OF THE BUSINESS –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 F. IR Agreement .</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September 17, 2021, the Company announced it entered into of an agreement, subject to TSX Venture Exchange (“</w:t>
      </w:r>
      <w:r>
        <w:rPr>
          <w:rFonts w:ascii="Times New Roman" w:cs="Times New Roman" w:eastAsia="Times New Roman" w:hAnsi="Times New Roman"/>
          <w:sz w:val="18"/>
          <w:szCs w:val="18"/>
          <w:b w:val="1"/>
          <w:bCs w:val="1"/>
          <w:color w:val="auto"/>
        </w:rPr>
        <w:t>TSXV</w:t>
      </w:r>
      <w:r>
        <w:rPr>
          <w:rFonts w:ascii="Times New Roman" w:cs="Times New Roman" w:eastAsia="Times New Roman" w:hAnsi="Times New Roman"/>
          <w:sz w:val="18"/>
          <w:szCs w:val="18"/>
          <w:color w:val="auto"/>
        </w:rPr>
        <w:t>”) approval, to retain the services of LHA Investor Relations, to handle the Company’s public relations and shareholder communications (the “</w:t>
      </w:r>
      <w:r>
        <w:rPr>
          <w:rFonts w:ascii="Times New Roman" w:cs="Times New Roman" w:eastAsia="Times New Roman" w:hAnsi="Times New Roman"/>
          <w:sz w:val="18"/>
          <w:szCs w:val="18"/>
          <w:b w:val="1"/>
          <w:bCs w:val="1"/>
          <w:color w:val="auto"/>
        </w:rPr>
        <w:t>LHA IR Agreement</w:t>
      </w:r>
      <w:r>
        <w:rPr>
          <w:rFonts w:ascii="Times New Roman" w:cs="Times New Roman" w:eastAsia="Times New Roman" w:hAnsi="Times New Roman"/>
          <w:sz w:val="18"/>
          <w:szCs w:val="18"/>
          <w:color w:val="auto"/>
        </w:rPr>
        <w:t>”). Under the LHA IR Agreement, the Company agreed to pay US$20,000 per month for an initial term of six months.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Digital Asset Management Program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early January 2021, the Company implemented a program (the “</w:t>
      </w:r>
      <w:r>
        <w:rPr>
          <w:rFonts w:ascii="Times New Roman" w:cs="Times New Roman" w:eastAsia="Times New Roman" w:hAnsi="Times New Roman"/>
          <w:sz w:val="18"/>
          <w:szCs w:val="18"/>
          <w:b w:val="1"/>
          <w:bCs w:val="1"/>
          <w:color w:val="auto"/>
        </w:rPr>
        <w:t>Digital Asset Management Program</w:t>
      </w:r>
      <w:r>
        <w:rPr>
          <w:rFonts w:ascii="Times New Roman" w:cs="Times New Roman" w:eastAsia="Times New Roman" w:hAnsi="Times New Roman"/>
          <w:sz w:val="18"/>
          <w:szCs w:val="18"/>
          <w:color w:val="auto"/>
        </w:rPr>
        <w:t xml:space="preserve">”), pursuant to which the Company added approximately 3,201 BTC to its balance sheet during the year ended December 31, 2021. </w:t>
      </w:r>
      <w:r>
        <w:rPr>
          <w:rFonts w:ascii="Times New Roman" w:cs="Times New Roman" w:eastAsia="Times New Roman" w:hAnsi="Times New Roman"/>
          <w:sz w:val="18"/>
          <w:szCs w:val="18"/>
          <w:i w:val="1"/>
          <w:iCs w:val="1"/>
          <w:color w:val="auto"/>
        </w:rPr>
        <w:t>See Section 4.8 – DESCRIPTION OF BUSINESS – DIGITAL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MANAGEMENT PROGRAM.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2021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Development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2021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520" w:type="dxa"/>
            <w:vAlign w:val="bottom"/>
            <w:tcBorders>
              <w:top w:val="single" w:sz="8" w:color="auto"/>
              <w:bottom w:val="single" w:sz="8" w:color="auto"/>
            </w:tcBorders>
          </w:tcPr>
          <w:p>
            <w:pPr>
              <w:spacing w:after="0"/>
              <w:rPr>
                <w:sz w:val="22"/>
                <w:szCs w:val="22"/>
                <w:color w:val="auto"/>
              </w:rPr>
            </w:pPr>
          </w:p>
        </w:tc>
        <w:tc>
          <w:tcPr>
            <w:tcW w:w="8240" w:type="dxa"/>
            <w:vAlign w:val="bottom"/>
            <w:tcBorders>
              <w:top w:val="single" w:sz="8" w:color="auto"/>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12"/>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Q1</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76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Leased: 3,000 MicroBT’s WhatsMiner M31S+ machines, adding approximately 240 PH of computing power.</w:t>
            </w:r>
          </w:p>
        </w:tc>
      </w:tr>
      <w:tr>
        <w:trPr>
          <w:trHeight w:val="210"/>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Q1</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97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Acquired: 1,500 MicroBT’s WhatsMiner M31S machines, adding approximately 120 PH of computing power.</w:t>
            </w:r>
          </w:p>
        </w:tc>
      </w:tr>
      <w:tr>
        <w:trPr>
          <w:trHeight w:val="191"/>
        </w:trPr>
        <w:tc>
          <w:tcPr>
            <w:tcW w:w="14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January 2022 –</w:t>
            </w:r>
          </w:p>
        </w:tc>
        <w:tc>
          <w:tcPr>
            <w:tcW w:w="9760" w:type="dxa"/>
            <w:vAlign w:val="bottom"/>
            <w:gridSpan w:val="2"/>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Entered into agreements to acquire 48,000 MicroBT’s WhatsMiner machines, adding what was expected to be approximately 5.0</w:t>
            </w: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2022</w:t>
            </w:r>
          </w:p>
        </w:tc>
        <w:tc>
          <w:tcPr>
            <w:tcW w:w="9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EH of computing power. In December 2022, the Company negotiated its miner purchasing agreements by extinguishing the</w:t>
            </w:r>
          </w:p>
        </w:tc>
      </w:tr>
      <w:tr>
        <w:trPr>
          <w:trHeight w:val="234"/>
        </w:trPr>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976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remaining 24,000 MicroBT commitment, without penalty.</w:t>
            </w:r>
          </w:p>
        </w:tc>
      </w:tr>
      <w:tr>
        <w:trPr>
          <w:trHeight w:val="210"/>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June 2021</w:t>
            </w: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Acquired: 1,500</w:t>
            </w:r>
          </w:p>
        </w:tc>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MicroBT M31S+ and 700 Bitmain S19j machines, adding 183 PH of computing power.</w:t>
            </w:r>
          </w:p>
        </w:tc>
      </w:tr>
      <w:tr>
        <w:trPr>
          <w:trHeight w:val="209"/>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Q2</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Q4 2021</w:t>
            </w:r>
          </w:p>
        </w:tc>
        <w:tc>
          <w:tcPr>
            <w:tcW w:w="15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Acquired: 2,465</w:t>
            </w:r>
          </w:p>
        </w:tc>
        <w:tc>
          <w:tcPr>
            <w:tcW w:w="8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WhatsMiner M30S Bitcoin Mining machines, adding 133 PH.</w:t>
            </w:r>
          </w:p>
        </w:tc>
      </w:tr>
      <w:tr>
        <w:trPr>
          <w:trHeight w:val="209"/>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Q2-Q3 2021</w:t>
            </w: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Acquired: 1,996</w:t>
            </w:r>
          </w:p>
        </w:tc>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MicroBT’s WhatsMiner M31S machines, adding approximately 120 PH of computing power.</w:t>
            </w:r>
          </w:p>
        </w:tc>
      </w:tr>
      <w:tr>
        <w:trPr>
          <w:trHeight w:val="210"/>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Q3</w:t>
            </w:r>
          </w:p>
        </w:tc>
        <w:tc>
          <w:tcPr>
            <w:tcW w:w="1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Q4 2021</w:t>
            </w:r>
          </w:p>
        </w:tc>
        <w:tc>
          <w:tcPr>
            <w:tcW w:w="15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Acquired: 6,600</w:t>
            </w:r>
          </w:p>
        </w:tc>
        <w:tc>
          <w:tcPr>
            <w:tcW w:w="8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Bitmain S19j Pro Antminer machines, adding approximately 660 PH of computing power.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July 3, 2021, the Company entered into 3 purchase agreements for miners with affiliated companies of MicroBT, pursuant to which, the Company purchased 48,000 Miners to be delivered throughout Fiscal 2022 (the “2021 Miner Purchase Agreements”) – </w:t>
      </w:r>
      <w:r>
        <w:rPr>
          <w:rFonts w:ascii="Times New Roman" w:cs="Times New Roman" w:eastAsia="Times New Roman" w:hAnsi="Times New Roman"/>
          <w:sz w:val="18"/>
          <w:szCs w:val="18"/>
          <w:i w:val="1"/>
          <w:iCs w:val="1"/>
          <w:color w:val="auto"/>
        </w:rPr>
        <w:t>see Section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2021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Quebec Expansion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7, 2021, the Company entered into an agreement with the City of Sherbrooke by which the Company’s existing operations at the De la Pointe Property were to be replaced by new, higher efficiency facilities with next-generation mining equipment optimized for higher output levels and lower power consumption. On October 27, 2021, the Company entered into lease agreements for two new high power production facilities in Sherbrooke, and announced the start of construction of these new facilities, known as “Leger” and “Bunker”, with a combined capacity of 78 MW, expected to be completed in the second quarter of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2021, the Company announced that it had completed its planned expansion in Cowansville, Quebec, consisting of the replacement of the original 4 MW facility that was operational since 2017 with an entirely newly constructed 17 MW facility. The Company also announced that it had installed 450 new Bitmain S19j Pro miners at the Cowansville facility, in addition to other used miners, adding approximately 100 PH/s of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Washington Expansion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2, 2021, the Company entered into a hosting agreement in the United States (the “</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Pursuant to the Hosting Agreement, the Company delivered older generation equipment already owned and used by the Company for hosting at one of the host’s facilities located in the United States in order to free up capacity at the Quebec facilities (namely, the facilities at Farnham, Saint-Hyacinthe, Cowansville, Magog, and De la Pointe) for more efficient and profitable mining equipment. In July 2021 the Hosting Agreement was replaced by a new hosting agreement for 12 MW under which 4,000 Bitmain S19j Pro miners with a capacity of 400 PH/s were installed at the host’s facility (the “</w:t>
      </w:r>
      <w:r>
        <w:rPr>
          <w:rFonts w:ascii="Times New Roman" w:cs="Times New Roman" w:eastAsia="Times New Roman" w:hAnsi="Times New Roman"/>
          <w:sz w:val="18"/>
          <w:szCs w:val="18"/>
          <w:b w:val="1"/>
          <w:bCs w:val="1"/>
          <w:color w:val="auto"/>
        </w:rPr>
        <w:t>July 2021 Hosting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9, 2021, the Company acquired a Bitcoin Mining production facility used for providing hosting services in Washington State, US (the </w:t>
      </w:r>
      <w:r>
        <w:rPr>
          <w:rFonts w:ascii="Times New Roman" w:cs="Times New Roman" w:eastAsia="Times New Roman" w:hAnsi="Times New Roman"/>
          <w:sz w:val="18"/>
          <w:szCs w:val="18"/>
          <w:b w:val="1"/>
          <w:bCs w:val="1"/>
          <w:color w:val="auto"/>
        </w:rPr>
        <w:t>“November 2021 Washington Acquisition</w:t>
      </w:r>
      <w:r>
        <w:rPr>
          <w:rFonts w:ascii="Times New Roman" w:cs="Times New Roman" w:eastAsia="Times New Roman" w:hAnsi="Times New Roman"/>
          <w:sz w:val="18"/>
          <w:szCs w:val="18"/>
          <w:color w:val="auto"/>
        </w:rPr>
        <w:t>”). The July 2021 Hosting Agreement terminated upon the closing of the November 2021 Washington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Argentina Expansion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19, 2021, the Company entered into an eight-year power purchase agreement with a private power producer in Argentina to secure up to 210 MW of electricity with variable rate mechanisms, further to the Company’s plan to pursue the development of a Bitcoin Mining facility in Argentina. The current permits in place allow for 100 MW of electricity. See </w:t>
      </w:r>
      <w:r>
        <w:rPr>
          <w:rFonts w:ascii="Times New Roman" w:cs="Times New Roman" w:eastAsia="Times New Roman" w:hAnsi="Times New Roman"/>
          <w:sz w:val="18"/>
          <w:szCs w:val="18"/>
          <w:i w:val="1"/>
          <w:iCs w:val="1"/>
          <w:color w:val="auto"/>
        </w:rPr>
        <w:t>Section 5.2 - FUTURE GROWTH PLANS - ARGENTINA EXPANSION.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7, 2021, the Company announced that it had entered into engineering, procurement and construction contracts with Proyectos y Obras Americanas S.A. (“</w:t>
      </w:r>
      <w:r>
        <w:rPr>
          <w:rFonts w:ascii="Times New Roman" w:cs="Times New Roman" w:eastAsia="Times New Roman" w:hAnsi="Times New Roman"/>
          <w:sz w:val="18"/>
          <w:szCs w:val="18"/>
          <w:b w:val="1"/>
          <w:bCs w:val="1"/>
          <w:color w:val="auto"/>
        </w:rPr>
        <w:t>PROA</w:t>
      </w:r>
      <w:r>
        <w:rPr>
          <w:rFonts w:ascii="Times New Roman" w:cs="Times New Roman" w:eastAsia="Times New Roman" w:hAnsi="Times New Roman"/>
          <w:sz w:val="18"/>
          <w:szCs w:val="18"/>
          <w:color w:val="auto"/>
        </w:rPr>
        <w:t>”) and Dreicon, as the owner’s engineer to commence construction of a production facility in Argentina of up to 210 MW.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Paraguay Expansion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2021, the Company announced that it had signed a 5-year lease and an annually renewable power purchase agreement to secure up to 10 MW of green hydro electrical capacity at approximately US3.6 cents per kilowatt hour in Paraguay In December 2021, the Company completed the construction of a 10 MW facility in Paraguay (the “</w:t>
      </w:r>
      <w:r>
        <w:rPr>
          <w:rFonts w:ascii="Times New Roman" w:cs="Times New Roman" w:eastAsia="Times New Roman" w:hAnsi="Times New Roman"/>
          <w:sz w:val="18"/>
          <w:szCs w:val="18"/>
          <w:b w:val="1"/>
          <w:bCs w:val="1"/>
          <w:color w:val="auto"/>
        </w:rPr>
        <w:t>Villarrica Facility</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Section 5.3 - FUTURE GROWTH PLANS - PARAGUAY EXPANSION.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Board and Management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the following changes to the Board and Management were made:</w:t>
      </w:r>
    </w:p>
    <w:p>
      <w:pPr>
        <w:spacing w:after="0" w:line="225" w:lineRule="exact"/>
        <w:rPr>
          <w:sz w:val="20"/>
          <w:szCs w:val="20"/>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2022, the Company announced the addition of three executives for newly created positions. Philippe Fortier was appointed Vice President, Special Projects; Andrea Keen Souza was appointed Vice President of Human Resources; and Stephanie Wargo was appointed Vice President of Marketing &amp; Communications.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2022, Nathaniel Port resigned as Senior Vice President of Finance and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2022, Marc-André Ammann was appointed as Vice President of Finance &amp;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2024, Paul Magrath was appointed as Vice President of Taxation.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2022, the Company announced the addition of Edie Hofmeister to the Board, bringing the total number of directors to six.</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2022, Emiliano Grodzki resigned as CEO and remained as non-executive member of the board of directors. Geoffrey Morphy was promoted from President and Chief Operating Officer to the position of President and Chief Executive Officer. The Company also announced that Nicolas Bonta has shifted from the position of Executive Chairman to the role of Chairman of the Board of Directors.</w:t>
      </w:r>
    </w:p>
    <w:p>
      <w:pPr>
        <w:spacing w:after="0" w:line="17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 2022, the Company issued a total of 29,324,277 common shares, in exchange for US$54.1 million of net proceeds, through the ATM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Debt Financing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24, 2022, the Company secured a US$32 million credit facility with a private lender (the “</w:t>
      </w:r>
      <w:r>
        <w:rPr>
          <w:rFonts w:ascii="Times New Roman" w:cs="Times New Roman" w:eastAsia="Times New Roman" w:hAnsi="Times New Roman"/>
          <w:sz w:val="18"/>
          <w:szCs w:val="18"/>
          <w:b w:val="1"/>
          <w:bCs w:val="1"/>
          <w:color w:val="auto"/>
        </w:rPr>
        <w:t>February 2022 BlockFi Loan Facility</w:t>
      </w:r>
      <w:r>
        <w:rPr>
          <w:rFonts w:ascii="Times New Roman" w:cs="Times New Roman" w:eastAsia="Times New Roman" w:hAnsi="Times New Roman"/>
          <w:sz w:val="18"/>
          <w:szCs w:val="18"/>
          <w:color w:val="auto"/>
        </w:rPr>
        <w:t>”). The February 2022 BlockFi Loan Facility had a 24-month term at an interest rate of 14.5 % per annum and was secured by approximately 6,100 Bitmain S19j Pro miners. The February 2022 BlockFi Loan Facility was used for general corporate purposes and for the Company’s global growth initiatives.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the Company made an additional draw of US$40 million from its December 2021 Debt Facility.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17, 2022, the Company entered into an equipment financing agreement with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which provided for initial funding of US$37 million at an interest rate of 12% per annum (the “</w:t>
      </w:r>
      <w:r>
        <w:rPr>
          <w:rFonts w:ascii="Times New Roman" w:cs="Times New Roman" w:eastAsia="Times New Roman" w:hAnsi="Times New Roman"/>
          <w:sz w:val="18"/>
          <w:szCs w:val="18"/>
          <w:b w:val="1"/>
          <w:bCs w:val="1"/>
          <w:color w:val="auto"/>
        </w:rPr>
        <w:t>June 2022 NYDIG Financing</w:t>
      </w:r>
      <w:r>
        <w:rPr>
          <w:rFonts w:ascii="Times New Roman" w:cs="Times New Roman" w:eastAsia="Times New Roman" w:hAnsi="Times New Roman"/>
          <w:sz w:val="18"/>
          <w:szCs w:val="18"/>
          <w:color w:val="auto"/>
        </w:rPr>
        <w:t>”). The June 2022 NYDIG Financing was collateralized by 10,395 WhatsMiner M30S Miners at Leger and the Bunker, funded as the assets were installed and became operational.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2022, the Company announced that it had reduced the December 2021 Debt Facility from US$100 million to US$66 million, funded through the sale of 1,500 BTC.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2022, the Company amended its December 2021 Debt Facility and extended its maturity date to October 1,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2022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Debt Financing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2022, the Company amended its December 2021 Debt Facility and extended its maturity date from October 1, 2022, to December 29, 2022, and reduced the collateral requirement from 143% to 135%, for a maximum of US$40 million at an interest rate of 11.25%. The December 2021 Debt Facility was fully repaid in December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Foundry Loan #1 matured and was fully repaid.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TSX 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7, 2022, the Company announced that it had received final approval for the up listing of its common shares to trade on the TSX. The Common Shares commenced trading on the TSX under the symbol “BITF” effective market open on April 8, 2022, and were concurrently delisted from the TSXV.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NASDAQ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14, 2022, the Company announced that it received a written notice from Nasdaq indicating that, for the prior thirty days, the bid price for the Common Shares had closed below the minimum US$1.00 per share requirement for continued listing on Nasdaq under Nasdaq Listing Rule 5550(a)(2). In accordance with Nasdaq Listing Rule 5810(c)(3)(A), the Company was provided an initial period of 180 calendar days (until June 12, 2023) to regain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IR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the Company extended the LHA IR Agreement for an indefinite period, under the same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Digital Asset Management Program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2022, the Board authorized management to purchase 1,000 BTC for US$43.2 million, increasing the Company’s BTC holdings by approximately 30%.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2022, the Company announced that it had adjusted its Digital Asset Management Program to improve liquidity and strengthen its balance sheet. During the second and third quarter of 2022, the Company sold 3,670 BTC in collateral to partially pay the December 2021 Credit Facility. During the same period the Company also sold 2,275 BTC in treasury to manage liquidity levels. Since August 2022, the Company started selling almost all of its daily BTC Mining production, and as of December 31, 2022, held 405 BTC valued at approximately US$6.7 million based on a BTC price of approximately US$16,500 as of December 31, 2022.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2022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Development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2022 is as follows:</w:t>
      </w:r>
    </w:p>
    <w:p>
      <w:pPr>
        <w:spacing w:after="0" w:line="23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Installed</w:t>
      </w:r>
      <w:r>
        <w:rPr>
          <w:sz w:val="20"/>
          <w:szCs w:val="20"/>
          <w:color w:val="auto"/>
        </w:rPr>
        <w:tab/>
      </w:r>
      <w:r>
        <w:rPr>
          <w:rFonts w:ascii="Times New Roman" w:cs="Times New Roman" w:eastAsia="Times New Roman" w:hAnsi="Times New Roman"/>
          <w:sz w:val="18"/>
          <w:szCs w:val="18"/>
          <w:b w:val="1"/>
          <w:bCs w:val="1"/>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Q1 2022</w:t>
      </w:r>
      <w:r>
        <w:rPr>
          <w:sz w:val="20"/>
          <w:szCs w:val="20"/>
          <w:color w:val="auto"/>
        </w:rPr>
        <w:tab/>
      </w:r>
      <w:r>
        <w:rPr>
          <w:rFonts w:ascii="Times New Roman" w:cs="Times New Roman" w:eastAsia="Times New Roman" w:hAnsi="Times New Roman"/>
          <w:sz w:val="17"/>
          <w:szCs w:val="17"/>
          <w:color w:val="auto"/>
        </w:rPr>
        <w:t>4,800 MicroBT WhatsMiners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Q2 2022</w:t>
      </w:r>
      <w:r>
        <w:rPr>
          <w:sz w:val="20"/>
          <w:szCs w:val="20"/>
          <w:color w:val="auto"/>
        </w:rPr>
        <w:tab/>
      </w:r>
      <w:r>
        <w:rPr>
          <w:rFonts w:ascii="Times New Roman" w:cs="Times New Roman" w:eastAsia="Times New Roman" w:hAnsi="Times New Roman"/>
          <w:sz w:val="17"/>
          <w:szCs w:val="17"/>
          <w:color w:val="auto"/>
        </w:rPr>
        <w:t>11,600 MicroBT WhatsMiners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Q3 2022</w:t>
      </w:r>
      <w:r>
        <w:rPr>
          <w:sz w:val="20"/>
          <w:szCs w:val="20"/>
          <w:color w:val="auto"/>
        </w:rPr>
        <w:tab/>
      </w:r>
      <w:r>
        <w:rPr>
          <w:rFonts w:ascii="Times New Roman" w:cs="Times New Roman" w:eastAsia="Times New Roman" w:hAnsi="Times New Roman"/>
          <w:sz w:val="17"/>
          <w:szCs w:val="17"/>
          <w:color w:val="auto"/>
        </w:rPr>
        <w:t>7,800 MicroBT WhatsMiners</w:t>
      </w:r>
    </w:p>
    <w:p>
      <w:pPr>
        <w:spacing w:after="0" w:line="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Q4 2022</w:t>
      </w:r>
      <w:r>
        <w:rPr>
          <w:sz w:val="20"/>
          <w:szCs w:val="20"/>
          <w:color w:val="auto"/>
        </w:rPr>
        <w:tab/>
      </w:r>
      <w:r>
        <w:rPr>
          <w:rFonts w:ascii="Times New Roman" w:cs="Times New Roman" w:eastAsia="Times New Roman" w:hAnsi="Times New Roman"/>
          <w:sz w:val="17"/>
          <w:szCs w:val="17"/>
          <w:color w:val="auto"/>
        </w:rPr>
        <w:t>1,600 MicroBT WhatsMiners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to better align the number of Miners on hand with the infrastructure capacity available to utilize the Miners, the Company amended the 2021 Miner Purchase Agreements, with deliveries originally expected to be completed during Fiscal Year 2022, to postpone into 2023, without penalty, the delivery and payment of certain remaining equipment purchases. In December 2022, the Company made a second amendment of this agreement for which 28,000 Miner deliveries had already arrived in 2022. Following the amendment, the obligation to acquire the remaining 20,000 Miners was cancelled without penalty.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Quebec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2022, the Company acquired a building in Sherbrooke Quebec expected to accommodate 18 MW of electrical infrastructure (“</w:t>
      </w:r>
      <w:r>
        <w:rPr>
          <w:rFonts w:ascii="Times New Roman" w:cs="Times New Roman" w:eastAsia="Times New Roman" w:hAnsi="Times New Roman"/>
          <w:sz w:val="18"/>
          <w:szCs w:val="18"/>
          <w:b w:val="1"/>
          <w:bCs w:val="1"/>
          <w:color w:val="auto"/>
        </w:rPr>
        <w:t>Garlock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2022, the Company began operations in Phase one of the Bunker (as defined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6, 2022, the Company began operations at Leger (as defined herein) in Sherbrooke, Quebec, bringing the total operational hashrate to 3 EH/s.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28, 2022, the Company announced that it had completed the second phase of its expansion of the Bunker, bringing the total operational hashrate to 3.8 EH/s.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December 2022, the remaining phases of the Bunker (6 MW) and Garlock (12 MW) farms in Sherbrooke, Quebec were energized, reaching their full capacity of 48 MW and 18 MW, respectively, which represented the completion of the Sherbrooke Expansion (as herein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16, 2022, the Company announced that it had completed the sale of the De la Pointe Property, receiving US$3.6 million in net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2022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Washington Expansion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2022, the Company added 3 MW of electrical infrastructure and started operating approximately 20 MW of electrical infrastructure with the majority of the Company’s Antminer S19j Pro Miners generating approximately 600 PH/s in this facility. As of December 31, 2022, the Company had an application pending for an additional 6 MW, which was originally expected to be energized before the end of Fiscal 2022. An additional 3 MW in process application is estimated to be energized after 2027 due to the nearby substation being at full capacity. See </w:t>
      </w:r>
      <w:r>
        <w:rPr>
          <w:rFonts w:ascii="Times New Roman" w:cs="Times New Roman" w:eastAsia="Times New Roman" w:hAnsi="Times New Roman"/>
          <w:sz w:val="18"/>
          <w:szCs w:val="18"/>
          <w:i w:val="1"/>
          <w:iCs w:val="1"/>
          <w:color w:val="auto"/>
        </w:rPr>
        <w:t>Section 5.4 -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GROWTH PLANS - WASHINGTON EXPANSION.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Paraguay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2022, the Villarrica Facility became operational with the installation of 2,900 of the Company’s older generation Miners relocated from Quebec and generating approximately 125 PH/s. On February 1, 2022, the Company announced commencement of 10 MW operations at the Villarrica Facility, increasing the total farms operated by the Company from six to seven and total mining capacity to 116 MW. See </w:t>
      </w:r>
      <w:r>
        <w:rPr>
          <w:rFonts w:ascii="Times New Roman" w:cs="Times New Roman" w:eastAsia="Times New Roman" w:hAnsi="Times New Roman"/>
          <w:sz w:val="18"/>
          <w:szCs w:val="18"/>
          <w:i w:val="1"/>
          <w:iCs w:val="1"/>
          <w:color w:val="auto"/>
        </w:rPr>
        <w:t>Section 5.3 - FUTURE GROWTH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PARAGUAY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Argentina Expansion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September 19, 2022, the Company announced commencement of operations at the first 10 MW module of its 50 MW warehouse in Argentina, increasing the total number of farms operated by the Company to ten and the total operational hashrate to 4.1 EH/s. See </w:t>
      </w:r>
      <w:r>
        <w:rPr>
          <w:rFonts w:ascii="Times New Roman" w:cs="Times New Roman" w:eastAsia="Times New Roman" w:hAnsi="Times New Roman"/>
          <w:sz w:val="18"/>
          <w:szCs w:val="18"/>
          <w:i w:val="1"/>
          <w:iCs w:val="1"/>
          <w:color w:val="auto"/>
        </w:rPr>
        <w:t>Section 5.2 - FUTURE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 ARGENTINA EXPANSION.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construction of all 5 MW modules at the 50 MW warehouse in Argentina had been completed and commissioning was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Board and Management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until March 20, 2023, the following changes to the Board and Management have been made:</w:t>
      </w:r>
    </w:p>
    <w:p>
      <w:pPr>
        <w:spacing w:after="0" w:line="225" w:lineRule="exact"/>
        <w:rPr>
          <w:sz w:val="20"/>
          <w:szCs w:val="20"/>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2023, Jeff Gao was appointed as Vice President of Risk Management.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Guillaume Reeves was appointed Vice President of IT, Guillaume is one of the oldest employees of the Company and had previously occupied the position of Director of 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29, 2023, Tracy Krumme was appointed Senior Vice President, Head of Investor Relations.</w:t>
      </w:r>
    </w:p>
    <w:p>
      <w:pPr>
        <w:spacing w:after="0" w:line="2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 At-the-market equity offering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year 2023, the Company issued 52,120,899 common shares in the ATM program in exchange for gross proceeds of $70.8 million at an average share price of approximately $1.36. The Company received net proceeds of $68.5 million after paying commissions of $2.2 million to the sales agent for the program and $0.1 million in other transaction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ATM Agreement expired on September 12,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2023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Debt Financing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2023, the principal amount of the remaining Foundry Loans #2, #3 and #4, entered into on May 2021, were fully repaid before their maturity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13, 2023, the Company announced that it was working to modify and reduce indebtedness of the February 2022 BlockFi Loan Facility. In connection with this, the Company announced it had taken certain actions, including not making installment payments. This constituted a default under the February 2022 BlockFi Loan Facility and entitled the lender to exercise various rights and remedies against the Company and in respect of the collateral.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February 2023, the Company negotiated a settlement of its February 2022 BlockFi Loan Facility with an outstanding debt balance of $20.3 million for a payment of $7.8 million in cash. Upon settlement, the 6,100 Bitmain S19j Pro miners that secured the February 2022 BlockFi Loan Facility became unencumbered.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2023 Private Placement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(the “</w:t>
      </w:r>
      <w:r>
        <w:rPr>
          <w:rFonts w:ascii="Times New Roman" w:cs="Times New Roman" w:eastAsia="Times New Roman" w:hAnsi="Times New Roman"/>
          <w:sz w:val="18"/>
          <w:szCs w:val="18"/>
          <w:b w:val="1"/>
          <w:bCs w:val="1"/>
          <w:color w:val="auto"/>
        </w:rPr>
        <w:t>November 2023 Offering</w:t>
      </w:r>
      <w:r>
        <w:rPr>
          <w:rFonts w:ascii="Times New Roman" w:cs="Times New Roman" w:eastAsia="Times New Roman" w:hAnsi="Times New Roman"/>
          <w:sz w:val="18"/>
          <w:szCs w:val="18"/>
          <w:color w:val="auto"/>
        </w:rPr>
        <w:t>”) for total gross proceeds of $43.8 million (CAD$60.0 million) in exchange for 44,444,446 common shares and 22,222,223 common shares purchase warrants to purchase common shares at a price of CAD$1.35 for each share and associated one-half warrant. The funds were raised via a fully subscribed private placement of equity securities among U.S. institutional investors. H.C. Wainwright &amp; Co. acted as the exclusive placement agent for the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6,962,693 warrants and 2,306,667 broker warrants issued in the private placement that closed on November 28, 2023, were exercised resulting in the issuance of 9,269,360 common shares for gross proceeds of approximately $11.0 million (or $1.23 per share for the broker warrants and $1.17 per share for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Prospectus Filings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November 10, 2023, the Company filed a short form base shelf prospectus (the “</w:t>
      </w:r>
      <w:r>
        <w:rPr>
          <w:rFonts w:ascii="Times New Roman" w:cs="Times New Roman" w:eastAsia="Times New Roman" w:hAnsi="Times New Roman"/>
          <w:sz w:val="18"/>
          <w:szCs w:val="18"/>
          <w:b w:val="1"/>
          <w:bCs w:val="1"/>
          <w:color w:val="auto"/>
        </w:rPr>
        <w:t>November 2023 SFBS Prospectus</w:t>
      </w:r>
      <w:r>
        <w:rPr>
          <w:rFonts w:ascii="Times New Roman" w:cs="Times New Roman" w:eastAsia="Times New Roman" w:hAnsi="Times New Roman"/>
          <w:sz w:val="18"/>
          <w:szCs w:val="18"/>
          <w:color w:val="auto"/>
        </w:rPr>
        <w:t>”) related to the offering for sale, of such number of securities of the Company as would result in aggregate gross proceeds of up to US$375 million, over a 25-month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Development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development of computing power in Fiscal 2023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02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Equipment</w:t>
            </w:r>
          </w:p>
        </w:tc>
      </w:tr>
      <w:tr>
        <w:trPr>
          <w:trHeight w:val="212"/>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 2023</w:t>
            </w:r>
          </w:p>
        </w:tc>
        <w:tc>
          <w:tcPr>
            <w:tcW w:w="10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 Miners</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Q2 2023</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5,100 Miners</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Q3 2023</w:t>
            </w:r>
          </w:p>
        </w:tc>
        <w:tc>
          <w:tcPr>
            <w:tcW w:w="10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11,700 Miners</w:t>
            </w:r>
          </w:p>
        </w:tc>
      </w:tr>
      <w:tr>
        <w:trPr>
          <w:trHeight w:val="22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Q4 2023</w:t>
            </w:r>
          </w:p>
        </w:tc>
        <w:tc>
          <w:tcPr>
            <w:tcW w:w="10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2,300 Miners</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2023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.Quebec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July 5, 2023, the Company acquired 100% of the shares of a corporation that owns the right to 22 MW of hydro power capacity in the city of Baie-Comeau, Quebec. In addition, the Company entered into a lease agreement for a site to operate the acquired capacity. Following the closing of the acquisition, the Company immediately commenced production at Baie-Comeau with an initial 3 MW online. The Company fully energized the 11 MW Baie-Comeau facility on October 20, 2023. See </w:t>
      </w:r>
      <w:r>
        <w:rPr>
          <w:rFonts w:ascii="Times New Roman" w:cs="Times New Roman" w:eastAsia="Times New Roman" w:hAnsi="Times New Roman"/>
          <w:sz w:val="18"/>
          <w:szCs w:val="18"/>
          <w:i w:val="1"/>
          <w:iCs w:val="1"/>
          <w:color w:val="auto"/>
        </w:rPr>
        <w:t>Section 5.5 - FUTURE GROWTH PLANS - CANADA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Washington Expansion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for the 6 MW application that was pending as of December 31, 2022. Subject to completion of the construction of required civil work for the deployment of the additional mining capacity, the 6 MW is expected to be operated in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2023, the Company began the construction of another facility on Company-owned land in the State of Washington.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July 2023, after obtaining lower results than expected, both in terms of performance and costs, the Company de-energized its 2 MW containerized immersion cooling pilot project in the State of Washington. See </w:t>
      </w:r>
      <w:r>
        <w:rPr>
          <w:rFonts w:ascii="Times New Roman" w:cs="Times New Roman" w:eastAsia="Times New Roman" w:hAnsi="Times New Roman"/>
          <w:sz w:val="18"/>
          <w:szCs w:val="18"/>
          <w:i w:val="1"/>
          <w:iCs w:val="1"/>
          <w:color w:val="auto"/>
        </w:rPr>
        <w:t>Section 5.4 - FUTURE GROWTH PLANS - WASHINGTON EXPANSION.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Argentina Expansion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2023, the private power producer obtained permits to provide the Company with up to 100 MW. During the same month testing of the Rio Cuarto substation was completed, and with the energization of 2,100 Miners in the Rio Cuarto facility, the Company reached 5 EH/s of production.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Q2 2023, approximately 5,100 new M30S WhatsMiner miners were installed in the Rio Cuarto facility, increasing capacity by over 100% to 29 MW and added approximately 510 PH/s, bringing its total hashrate in that facility to approximately 700 PH/s. See </w:t>
      </w:r>
      <w:r>
        <w:rPr>
          <w:rFonts w:ascii="Times New Roman" w:cs="Times New Roman" w:eastAsia="Times New Roman" w:hAnsi="Times New Roman"/>
          <w:sz w:val="18"/>
          <w:szCs w:val="18"/>
          <w:i w:val="1"/>
          <w:iCs w:val="1"/>
          <w:color w:val="auto"/>
        </w:rPr>
        <w:t>Section 5.2 - FUTURE GROWTH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 ARGENTINA EXPANSION.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and September 2023, approximately 1,300 new M50 WhatsMiner Miners, 700 new S19j Pro Antminer miners and 5,500 new S19j Pro+ Antminer Miners were installed, increasing the warehouse’s capacity to 51 MW and operational hashrate to 1.5 EH/s. Approximately 600 additional M50 WhatsMiner miners and 200 new Bitmain S19j Pro+ Antminer Miners were installed in October 2023, further increasing the warehouse’s capacity to 54 MW and operational hashrate to 1.6 EH/s.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secured a fixed rate with the private Argentinian power producer, to receive power at the Rio Cuarto facility at a fixed rate of 2.1 cents per kWh plus VAT for the months of November 2023 through April 2024, which is expected to significantly lower the Company's blended cost of power at the Rio Cuarto facility to an average of 2.5 cents per kWh plus taxes for the first year of full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Company operated one 54 MW facility in Argentina.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FISCAL 2023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Paraguay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January 2023, all the older generation Miners in the Villarrica Facility were replaced with approximately 3,000 new M30S WhatsMiner Miners generating approximately 290 PH/s, a 165 PH/s increase compared to the hashrate that was being produced by the older generation Miners. During the three months ended March 31, 2023, the Company sold the older generation Miners to a third party for approximately $0.2 million. See </w:t>
      </w:r>
      <w:r>
        <w:rPr>
          <w:rFonts w:ascii="Times New Roman" w:cs="Times New Roman" w:eastAsia="Times New Roman" w:hAnsi="Times New Roman"/>
          <w:sz w:val="18"/>
          <w:szCs w:val="18"/>
          <w:i w:val="1"/>
          <w:iCs w:val="1"/>
          <w:color w:val="auto"/>
        </w:rPr>
        <w:t>Section 5.3 -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FUTURE GROWTH PLANS - PARAGUAY EXPANSION.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acquired 100% of the shares of two corporations owning power purchase agreements in Paraguay for up to 150 MW of eco-friendly hydro power: one for up to 50 MW in Villarrica, in close proximity to the Company’s existing operations, and one for up to 100 MW in Yguazu, a new location close to the Itaipú dam, the third largest hydro-electric dam in the world.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in anticipation of the construction of the 50 MW new operating facility in Villarrica, known as the “Paso Pe” facility, the Company placed orders using vendor credits for eight 2.4 MW hydro containers and approximately 1,900 hydro-cooled Miners capable of producing approximately 675 PH/s once installed.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construction commenced at the Paso Pe facility.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2023, the Company announced that it had entered into an amending agreement for an additional 20 MW of energy at the Paso Pe facility, enabling an expansion at the site from 50 MW to 70 MW, of which about 50 MW will be air cooled and the remaining hydro containers. The construction of the Paso Pe facility is expected to be completed before the end of the second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Transformative Fleet Upgrade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Company announced that as part of a comprehensive strategy to increase the Company's fleet efficiency and operating capacity, it placed a firm purchase order for 35,888 Bitmain T21 miners totaling $95.5 million with deliveries scheduled from March 2024 to May 2024 and made a non-refundable deposit of $9.5 million. In addition, the Company secured a purchase option for an additional 28,000 Bitmain T21 miners totaling $74.5 million and made a non-refundable deposit of $7.4 million in respect to the purchase option. This purchase option gives the Company the right until December 31, 2024, but not the obligation, to purchase, in whole or in part, up to an additional 28,000 Bitmain T21 miners.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GENERAL DEVELOPMENT OF THE BUSINESS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During Fiscal 2024 until March 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South America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2024, Bitfarms announced the purchase of land for its future 100 MW production facility in Yguazu, Paraguay. This newly acquired land is located in the heart of Paraguay near the Itaipú Dam, the third largest hydropower dam in the world with 14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igawatts of installed capacity. Positioned to benefit from the region’s abundant renewable energy resources, this new facility is expected to be sustainable both economically and environmentally. Once the Yguazu facility comes online, over 85% of the Company’s portfolio will be powered by low-cost green energy that promotes environmentally sustainable Bitcoin Mining. The construction of the facility’s build-out is anticipated to be completed in the second half of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Current Computing Power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operating hashrate is approximately 6.5 EH/s as of March 6,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0" w:hanging="170"/>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 GENERAL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BTC Blockchain (referred to as “Mining”). Bitfarms generally operates its Miners 24 hours a day, which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in BTC on a daily basis.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January 2021, the Company routinely exchanged cryptocurrencies mined into U.S. dollars through reputable cryptocurrency trading platforms. At the beginning of Fiscal 2021, the Company implemented the Digital Asset Management Program under which the Company decided how many mined Bitcoin would be held by the Company through its custodians. See section 4.8 - </w:t>
      </w:r>
      <w:r>
        <w:rPr>
          <w:rFonts w:ascii="Times New Roman" w:cs="Times New Roman" w:eastAsia="Times New Roman" w:hAnsi="Times New Roman"/>
          <w:sz w:val="18"/>
          <w:szCs w:val="18"/>
          <w:i w:val="1"/>
          <w:iCs w:val="1"/>
          <w:color w:val="auto"/>
        </w:rPr>
        <w:t>DESCRIPTION OF BUSINESS - DIGITAL ASSET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6, 2024, Bitfarms operates 11 operating Bitcoin Mining facilities and two under development, which are situated in four countries: Canada, the United States, Paraguay and Argentina. Powered predominately by environmentally friendly hydro-electric and long-term power contracts, Bitfarms is committed to using sustainable and often underutilized energy infrastructure. The Company’s ability to operate and secure power through its operational sites is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Source of</w:t>
            </w:r>
          </w:p>
        </w:tc>
        <w:tc>
          <w:tcPr>
            <w:tcW w:w="25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Operating power as</w:t>
            </w:r>
          </w:p>
        </w:tc>
        <w:tc>
          <w:tcPr>
            <w:tcW w:w="24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Contracted power</w:t>
            </w:r>
          </w:p>
        </w:tc>
      </w:t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server farms</w:t>
            </w: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2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of March 6, 2024</w:t>
            </w:r>
          </w:p>
        </w:tc>
        <w:tc>
          <w:tcPr>
            <w:tcW w:w="24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as of March 6, 2024</w:t>
            </w:r>
          </w:p>
        </w:tc>
      </w:tr>
      <w:tr>
        <w:trPr>
          <w:trHeight w:val="27"/>
        </w:trPr>
        <w:tc>
          <w:tcPr>
            <w:tcW w:w="1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0"/>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Québec</w:t>
            </w:r>
          </w:p>
        </w:tc>
        <w:tc>
          <w:tcPr>
            <w:tcW w:w="1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1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Hydroelectric</w:t>
            </w:r>
          </w:p>
        </w:tc>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158 MW</w:t>
            </w: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179 MW</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Washington State</w:t>
            </w:r>
          </w:p>
        </w:tc>
        <w:tc>
          <w:tcPr>
            <w:tcW w:w="1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Hydroelectric</w:t>
            </w:r>
          </w:p>
        </w:tc>
        <w:tc>
          <w:tcPr>
            <w:tcW w:w="2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18 MW</w:t>
            </w: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 MW</w:t>
            </w: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w:t>
            </w:r>
          </w:p>
        </w:tc>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Villarrica</w:t>
            </w:r>
          </w:p>
        </w:tc>
        <w:tc>
          <w:tcPr>
            <w:tcW w:w="1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Hydroelectric</w:t>
            </w:r>
          </w:p>
        </w:tc>
        <w:tc>
          <w:tcPr>
            <w:tcW w:w="2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 MW</w:t>
            </w:r>
          </w:p>
        </w:tc>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180 MW</w:t>
            </w:r>
          </w:p>
        </w:tc>
      </w:tr>
      <w:tr>
        <w:trPr>
          <w:trHeight w:val="216"/>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1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Rio Cuarto</w:t>
            </w:r>
          </w:p>
        </w:tc>
        <w:tc>
          <w:tcPr>
            <w:tcW w:w="1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2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54 MW</w:t>
            </w:r>
          </w:p>
        </w:tc>
        <w:tc>
          <w:tcPr>
            <w:tcW w:w="2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210 MW</w:t>
            </w:r>
          </w:p>
        </w:tc>
      </w:tr>
      <w:tr>
        <w:trPr>
          <w:trHeight w:val="216"/>
        </w:trPr>
        <w:tc>
          <w:tcPr>
            <w:tcW w:w="1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240 MW</w:t>
            </w:r>
          </w:p>
        </w:tc>
        <w:tc>
          <w:tcPr>
            <w:tcW w:w="2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590 MW</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Bitfarms owns proprietary software, known as the MGMT System, that is used to control, manage, report and secure mining operations. The MGMT System scans and reports the location, status, computing power and temperature of all Miners at regular intervals to allows the Company to monitor performance and maximize up-time. The MGMT System was substantially upgraded during 2022 and is continually getting updated to enhance its features and improve its functionality. The revised system is referred to as MGMT-2. See Section 4.14 - HARDWARE AND SOFTWARE.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in building and maintaining its server farms in Quebec.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MINING POOL PARTICIPATION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generally operates Miners 24 hours a day producing computational power used for hashing calculations (measured by hashrate) which it sells to Mining Pools (as defined herein), and is compensated on a FPPS basis. Bitfarms currently participates in only one Mining Pool, being Foundry USA Pool (“Foundry Pool”).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However, the fees are generally paid to the Company to BTC on a daily basis.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their Miners hashrate to Foundry Pool with URL address(es) that are unique to those members.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formula that Foundry Pool pays to Bitfarms (not including transaction fees)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029075" cy="436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290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Subaccount FPPS Payout Amount is the amount of payment (in Bitcoin) that the Company actual receives; Daily PPS Base per Subaccount is the amount of Bitcoin earned by the Company based on the block subsidy that is paid to Bitcoin Miners for solving a block (the “Reward Component”);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discount applied to the total FPPS payout otherwise attributed to computing power service providers for their sale of computing power used for hashing calculations as defined in the rate schedule of the agreement with the Mining Pool.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 MINING POOL PARTICIPATION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Daily PPS Base per Subaccount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454400" cy="7543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544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worker is the number of Miners (or groups of Miners), shares equals a number equal to the aggregate hashrate of a worker divided by sets equal to the size of the share difficulty (such that the sum of all such shares is equal to the aggregate Hashpower of a particular worker; block subsidy is the amount of Bitcoin rewarded for solving a block (currently 6.25 Bitcoin, until the next Halving event, scheduled to occur in April 2024 (the “2024 Halving”)), and network difficulty is the Bitcoin network difficulty.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FPPS Rate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40125" cy="565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401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sum of the Block Subsidy (indexed for i equals 4 to i equals n-3) is the aggregate amount of block subsidies awarded to all Miners on the Bitcoin blockchain over a particular period of time (e.g. 24 hours), after eliminated the three blocks with the lowest Transaction Fees and the three blocks with the highest Transaction Fees, and the sum of the Transaction Fees (indexed for i equals 4 to i equals n-3) are the actual transaction fees paid by all Bitcoin network users for the transaction they log to the blockchain on the blocks over the same period of time (i.e. 24 hours), after eliminated the three blocks with the lowest Transaction Fees and the three blocks with the highest Transaction Fees.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Company has not identified any material differences with Foundry Pool’s reward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PRODUCTS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contributes its computational power used for hashing calculations to one or more mining pools from which it receives payment in Bitcoin through the Mining process, as well as providing electrical services through Volta.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CRYPTOCURRENCY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Bitcoin Blockchain technology was developed around 2009 by a pseudonymous person or organization known as Satoshi Nakamoto. It is often defined as a distributed ledger, or database, with decentralized control. The types of databases that could be implemented using blockchain technology are broad and include, among others, databases similar to a bank ledger that record statements of accounts or transactions, or any other digital record of asset ownership, such as an identity system, land registry or even the rights and obligations defined in a contract. In the traditional centralized ledger models, a master version of such ledgers is controlled by a bank, government or a trusted third party. Disputes are resolved by checking the master version, through a manual and often redundant reconciliation process. In the decentralized blockchain model, a master ledger is not stored in one place or controlled by one entity. Every counterparty on the network receives an identical real-time copy of the ledger; the data in the ledger is tamper-proof using cryptography; new states of the ledger are agreed upon by consensus among all parties.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shared ledger is made tamper-proof using a cryptographic technique called hashing. A hashing algorithm is a mathematical transformation function with two key properties. First, it accepts any alphanumeric dataset as an input and produces a unique 256-bit code as an output. Second, the smallest change in the dataset results in a significant change in the unique code. Any tampering of the dataset can be detected by re-hashing the data and checking for a change in the unique code. Any user that runs the hash algorithm on the same strings will derive the same unique code. Consequently, the data on the distributed ledger can be run through a series of hash algorithms to create a unique code which ensures the entire ledger is immutable. Whenever a new set or block of transactions is added to the ledger, it is appended with the code from the prior state of the ledger before it is hashed. This chain links both states of the ledger by combining them into a single unique code. Tampering of any historical state of the ledger can be automatically detected by the blockchain network. The historical state of the ledger can be changed if control of more than 50% of the network is obtained; however, in the case of widely held cryptocurrencies with non-trivial valuations, it is likely economically prohibitive for any actor or group of actors acting in concert to obtain the requisite control of more than 50% of the network.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 MINING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process by which cryptocurrency coins or tokens are created and transactions are verified is called mining. A user or Mining operator operates a publicly distributed mining client, which turns the user’s computer into a “node” on the network that validates blocks. In order to add blocks to the Bitcoin blockchain, a Miner must map an input data set (i.e., the blockchain, plus a block of the most recent transactions and an arbitrary number called a “nonce”) to a desired output data set of a predetermined length using the SHA256 cryptographic hash algorithm. Each unique block can only be solved and added to the blockchain by one Miner. As more Miners join the network and its processing power increases, the network adjusts the complexity of the block solving equation to maintain a predetermined pace of adding a new block to the blockchain approximately every ten minutes. The prevailing level of complexity in the context of cryptocurrency mining is often referred to as the “difficulty”. See Section 4.19 -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AIF.</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Miner’s proposed block is added to the blockchain once a majority of the nodes on the network confirms the Miner’s work which is targeted to occur every ten minutes. Miners that are successful in adding a block to the blockchain are automatically awarded coins or tokens (referred to as block rewards) for their effort plus any transaction fees paid by transferors whose transactions are recorded in the block. This reward system is the method by which new coins enter into circulation to the public.</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 BUSINESS AND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strategy consists mainly of constructing and operating server farms using a geographically diversified portfolio of low-cost energy sources. In support of the strategy, the Company has sourced electrical power from Hydro-Québec, Hydro-Sherbrooke, Hydro-Magog, City of Baie-Comeau and predominantly power grid operators in Washington State and Paraguay. Power from these sources is derived from clean hydroelectricity as opposed to, for instance, coal-fired or gas-fired plants. Hydro-electric power is generated through exploitation of the natural water cycle, which is renewable, sustainable, and abundant owing to the natural geography of the Province of Québec, Washington State and Paraguay. The Company has also entered into an agreement with a private energy producer to secure exclusive use of up to 210 MW of natural gas-powered electricity in Argentina; with current permits in place allowing for 100 MW of electricity. As a result of these efforts, the management of the Company has developed a business model utilizing low-cost power capacity and a supply of computer hardware from leading manufacturers.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server farms are in part operated by the MGMT-2, a proprietary software suite comprised of three operating programs that control, manage, report and secure the operation. One program in the suite of software is the central point of the infrastructure, and saves the status of the Company’s Miners into a database at 30 second intervals. A second program in the suite connects directly to the first program to do the scanning of all the Company’s Miners and return the data for analysis and storage. A third program in the suite displays the data retrieved by the other programs in readable and digestible format to assist operators in identifying machines issues. The software is configured to notify operators of profitability conditions, enabling operators to manually optimize margins under different economic conditions through optimizing the hashing performance and energy consumption of the Miners. Additionally, the Company has an automated cooling management system which autonomously controls exhaust fans to maintain the optimal temperature of the Miners at the locations in which they are operated, based on prevailing ambient conditions. See Section 4.14 - </w:t>
      </w:r>
      <w:r>
        <w:rPr>
          <w:rFonts w:ascii="Times New Roman" w:cs="Times New Roman" w:eastAsia="Times New Roman" w:hAnsi="Times New Roman"/>
          <w:sz w:val="18"/>
          <w:szCs w:val="18"/>
          <w:i w:val="1"/>
          <w:iCs w:val="1"/>
          <w:color w:val="auto"/>
        </w:rPr>
        <w:t>DESCRIPTION OF BUSINESS - HARDWARE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 MINING PROFITABILITY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and taking into account the network difficulty, the Company’s average direct cost per Bitcoin was approximately US$15,200, and the Company would likely be in a position to continue mining Bitcoin profitably if the price per Bitcoin decreased to this level. In the event that the price per Bitcoin decreased below approximately US$15,200,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US$15,200 and network difficulty does not change, the Company may temporarily pause mining until the price surpasses the Company’s average direct cost per Bitcoin.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in the event the network difficulty rises or the BTC price decreases such that the direct cost exceeds the revenue per teraHash, the Company may consider reducing the clock rate of its miners, resulting in greater electrical efficiency and a lower direct cost per BTC. See Section 4.19 -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Cryptocurrency Network Difficulty and Impact of Increased Global Computing Power </w:t>
      </w:r>
      <w:r>
        <w:rPr>
          <w:rFonts w:ascii="Times New Roman" w:cs="Times New Roman" w:eastAsia="Times New Roman" w:hAnsi="Times New Roman"/>
          <w:sz w:val="18"/>
          <w:szCs w:val="18"/>
          <w:color w:val="auto"/>
        </w:rPr>
        <w:t>of this AIF</w:t>
      </w:r>
      <w:r>
        <w:rPr>
          <w:rFonts w:ascii="Times New Roman" w:cs="Times New Roman" w:eastAsia="Times New Roman" w:hAnsi="Times New Roman"/>
          <w:sz w:val="18"/>
          <w:szCs w:val="18"/>
          <w:i w:val="1"/>
          <w:iCs w:val="1"/>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 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Rather than selling all BTC mined at then-prevailing market rates, the Company decided to retain BTC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BTC allowed the Company flexibility in deciding when or whether to sell the assets based on prevailing market conditions. With the decrease in BTC prices during late 2021 and 2022, coupled with the high price of mining hardware, the Company converted a portion of its cash position into BTC with a purchase of 1,000 BTC during the first week of 2022. In August 2022, attending to market conditions, the Board approved the sale of the Company’s daily BTC earned to reduce indebtedness and increase financial flexibility.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has implemented internal controls and custody arrangements to minimize the risk of loss or theft of the retained BTC. Within the Company, there is a segregation of duties to ensure no individual has the ability to unilaterally perform a BTC transaction. Every BTC transfer requires the approval of two different authorized individuals. All BTC transfers are monitored and monthly reconciliations are performed by individuals that are external to the transaction process. The Company retains Coinbase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and Anchorage Digital Bank N.A. (“</w:t>
      </w:r>
      <w:r>
        <w:rPr>
          <w:rFonts w:ascii="Times New Roman" w:cs="Times New Roman" w:eastAsia="Times New Roman" w:hAnsi="Times New Roman"/>
          <w:sz w:val="18"/>
          <w:szCs w:val="18"/>
          <w:b w:val="1"/>
          <w:bCs w:val="1"/>
          <w:color w:val="auto"/>
        </w:rPr>
        <w:t>Anchorage Digital</w:t>
      </w:r>
      <w:r>
        <w:rPr>
          <w:rFonts w:ascii="Times New Roman" w:cs="Times New Roman" w:eastAsia="Times New Roman" w:hAnsi="Times New Roman"/>
          <w:sz w:val="18"/>
          <w:szCs w:val="18"/>
          <w:color w:val="auto"/>
        </w:rPr>
        <w:t xml:space="preserve">”) as its third-party custodians. Coinbase Custody is a US-based fiduciary and qualified custodian under New York Banking Law and is licensed by the State of New York to custody digital assets. Anchorage Digital is a digital asset platform and infrastructure provider that deals in the holding of cryptocurrency products and the investing of infrastructure for cryptocurrency. Anchorage Digital is the only crypto-native bank to hold a charter from the US Office of the Comptroller, offering institutions secure custody, staking, governance and settlement services. Having a national bank charter in the US places Anchorage Digital on the same regulatory footing as other US national banks. See Section 4.9 - </w:t>
      </w:r>
      <w:r>
        <w:rPr>
          <w:rFonts w:ascii="Times New Roman" w:cs="Times New Roman" w:eastAsia="Times New Roman" w:hAnsi="Times New Roman"/>
          <w:sz w:val="18"/>
          <w:szCs w:val="18"/>
          <w:i w:val="1"/>
          <w:iCs w:val="1"/>
          <w:color w:val="auto"/>
        </w:rPr>
        <w:t>DESCRIPTION OF BUSINESS - CUSTODY OF CRYPTO ASSETS.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Every Bitcoin earned is kept or sold based on the Company’s liquidity and operational needs. The Company has no specific target or intention with the Bitcoins it earns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many controls within the Company itself and within Coinbase Custody and Anchorage Digital, its Bitcoin custodians. Within the Company, there is a segregation of duties to ensure no individual has the ability to perform a BTC transaction alone. Every BTC movement requires the approval of two different individuals. The BTC balance movement is monitored and monthly reconciliations are performed by individuals who are external to the transaction process. Within Coinbase Custody and Anchorage Digital, every BTC is held in a cold wallet. One initiator and two approvers (i.e. CEO, CFO, VP finance) are needed to complete a transaction and video calls are needed for a transfer to a third-party.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4.9 CUSTODY OF CRYPTO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crypto assets, currently BTC, is earned to multi-signature wallets that the Company controls. On a regular basis, the Company transfers BTC from its multi-signature wallets to an external third-party custodian, such as Coinbase Custody and Anchorage Digital. Currently, Coinbase Custody and Anchorage Digital provides only custodial services to the Company and does not use a sub-custodian. Coinbase Custody and Anchorage Digital is not a related party to the Company. Coinbase Custody is a fiduciary of § 100 of the New York Banking Law and is licensed to custody its clients’ digital assets in trust on their behalf. Coinbase Custody is a qualified custodian for purposes of § 206 (4) -2(d)(6) of the Advisers Act of 1940, as amended. Anchorage Digital is the only federally chartered crypto bank in the U.S., serves as a custodian for digital assets, and is licensed and regulated by the Office of the Comptroller of the Currency.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6, 2024, the Company holds 807 BTC, valued at $54.1 million. As of the date of this AIF, 100% of the Company’s BTC are held in custody with Coinbase Custody and Anchorage Digital.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limits of those policies would be available to the Company or, if available, would be sufficient to make the Company whole for any BTC that are lost or stolen. The Company is unaware of: (i) 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Custody may not be recoverable in the event of bankruptcy by Coinbase Custody or its affiliates. In its annual report on Form 10-K filed with the U.S. Securities Exchange Commission on February 15, 2024, Coinbase Custody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Regardless of efforts made by the Company to securely store and safeguard assets, there can be no assurance that crypto assets will not be defalcated through hacking or other forms of theft. See Section 4.19 -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AI</w:t>
      </w:r>
      <w:r>
        <w:rPr>
          <w:rFonts w:ascii="Times New Roman" w:cs="Times New Roman" w:eastAsia="Times New Roman" w:hAnsi="Times New Roman"/>
          <w:sz w:val="18"/>
          <w:szCs w:val="18"/>
          <w:i w:val="1"/>
          <w:iCs w:val="1"/>
          <w:color w:val="auto"/>
        </w:rPr>
        <w:t>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 HEDGING PROGRAM OF DIGITAL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for this purpose, to implement hedges using BTC option contracts for up to 20% of the Company’s BTC compensation per month and up to three months of future BTC compensation. In April 2023, the BOD authorized Management to increase the BTC option contracts to up to 50% of the Company’s BTC compensation per month and up to six months of expected future BTC compensation. As of March 6, 2024,the risk management committee has not engaged in hedging to the full extent approved by the BOD. The Company has a hedge in place of 160 BTC of expected future BTC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twelve months ended December 31, 2023, the Company secured BTC option contracts to sell digital assets which resulted in a loss of $0.3 million and $0.5 million, respectively, mainly related to premiums paid for the option contracts hedging the potential risk of the BTC price decreasing and protecting the Company’s margins. Refer to Note 22 to the Financial Statements for more details.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4.11 SYNTHETIC HODL PROGRAM OF DIGITAL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Alongside the hedging program, and with the intent to manage a more capital-efficient portfolio, in June 2023, the BOD approved a HODL strategy, referred to as a synthetic HODL strategy, which allows up to 20% of the Company’s BTC exposure to be replicated using BTC call options. In October 2023, the Company initiated its Synthetic HODL strategy with the purchase of long-dated BTC call options. The primary objective of the Synthetic HODL is to allow the Company to accumulate BTC in treasury and increase BTC exposure in a manner that is risk-managed and capital efficient. As of March 6, 2024, the Company has active call option contracts providing the right to buy up to 135 BTC. It remains within the risk management committee’s discretion to dynamically adjust Bitfarms’ hedge and Synthetic HODL ratios within the risk limits approved by the BOD to more adequately respond to market factors that are beyond the Company’s operational control. During the three and twelve months ended December 31, 2023, the Company purchased long-dated BTC call options which resulted in an unrealized gain of $0.5 million for both periods primarily attributable to the increase in the BTC price over the respected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 CURRENT MINING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out summary information regarding the Current Facilities as of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Hash-power per</w:t>
            </w:r>
          </w:p>
        </w:tc>
        <w:tc>
          <w:tcPr>
            <w:tcW w:w="2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Property</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Primary Energy</w:t>
            </w: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Power Capacity</w:t>
            </w: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second</w:t>
            </w:r>
          </w:p>
        </w:tc>
        <w:tc>
          <w:tcPr>
            <w:tcW w:w="22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Source</w:t>
            </w:r>
          </w:p>
        </w:tc>
      </w:tr>
      <w:tr>
        <w:trPr>
          <w:trHeight w:val="27"/>
        </w:trPr>
        <w:tc>
          <w:tcPr>
            <w:tcW w:w="2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Farnham, Québec, Canada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MVW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PH/s</w:t>
            </w:r>
          </w:p>
        </w:tc>
        <w:tc>
          <w:tcPr>
            <w:tcW w:w="22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Saint-Hyacinthe, Québec, Canada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 MVW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PH/s</w:t>
            </w:r>
          </w:p>
        </w:tc>
        <w:tc>
          <w:tcPr>
            <w:tcW w:w="22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Cowansville, Québec, Canada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MVW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PH/s</w:t>
            </w:r>
          </w:p>
        </w:tc>
        <w:tc>
          <w:tcPr>
            <w:tcW w:w="22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Baie-Comeau, Québec, Canada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MVW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 PH/s</w:t>
            </w:r>
          </w:p>
        </w:tc>
        <w:tc>
          <w:tcPr>
            <w:tcW w:w="22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Magog, Québec, Canada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MVW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PH/s</w:t>
            </w:r>
          </w:p>
        </w:tc>
        <w:tc>
          <w:tcPr>
            <w:tcW w:w="22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Bunker, Sherbrooke, Québec,</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48 MVW</w:t>
            </w:r>
          </w:p>
        </w:tc>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1,200 PH/s</w:t>
            </w:r>
          </w:p>
        </w:tc>
        <w:tc>
          <w:tcPr>
            <w:tcW w:w="2200" w:type="dxa"/>
            <w:vAlign w:val="bottom"/>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Hydroelectric</w:t>
            </w: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Leger, Sherbrooke, Quebec, Canada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MVW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800 PH/s</w:t>
            </w:r>
          </w:p>
        </w:tc>
        <w:tc>
          <w:tcPr>
            <w:tcW w:w="22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5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Garlock, Sherbrooke, Québec, Canada</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 MVW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PH/s</w:t>
            </w:r>
          </w:p>
        </w:tc>
        <w:tc>
          <w:tcPr>
            <w:tcW w:w="22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Owned</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2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United States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MVW</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 PH/s</w:t>
            </w:r>
          </w:p>
        </w:tc>
        <w:tc>
          <w:tcPr>
            <w:tcW w:w="22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Owned &amp; Leased</w:t>
            </w:r>
          </w:p>
        </w:tc>
        <w:tc>
          <w:tcPr>
            <w:tcW w:w="296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Villarrica, Paraguay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MVW</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 PH/s</w:t>
            </w:r>
          </w:p>
        </w:tc>
        <w:tc>
          <w:tcPr>
            <w:tcW w:w="22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Hydroelectric</w:t>
            </w:r>
          </w:p>
        </w:tc>
      </w:tr>
      <w:tr>
        <w:trPr>
          <w:trHeight w:val="250"/>
        </w:trPr>
        <w:tc>
          <w:tcPr>
            <w:tcW w:w="2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Rio Cuarto, Argentina , Warehouse #1</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 MVW</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1,600 PH/s</w:t>
            </w:r>
          </w:p>
        </w:tc>
        <w:tc>
          <w:tcPr>
            <w:tcW w:w="2200" w:type="dxa"/>
            <w:vAlign w:val="bottom"/>
            <w:tcBorders>
              <w:bottom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7"/>
              </w:rPr>
              <w:t>Leased</w:t>
            </w:r>
          </w:p>
        </w:tc>
        <w:tc>
          <w:tcPr>
            <w:tcW w:w="2960" w:type="dxa"/>
            <w:vAlign w:val="bottom"/>
            <w:tcBorders>
              <w:bottom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rPr>
              <w:t>Natural Gas</w:t>
            </w:r>
          </w:p>
        </w:tc>
      </w:tr>
      <w:tr>
        <w:trPr>
          <w:trHeight w:val="223"/>
        </w:trPr>
        <w:tc>
          <w:tcPr>
            <w:tcW w:w="2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 MVW</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6,500 PH/s</w:t>
            </w:r>
          </w:p>
        </w:tc>
        <w:tc>
          <w:tcPr>
            <w:tcW w:w="22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r>
        <w:trPr>
          <w:trHeight w:val="648"/>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 | Page</w:t>
            </w:r>
          </w:p>
        </w:tc>
        <w:tc>
          <w:tcPr>
            <w:tcW w:w="1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 COMPETITIVE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cryptocurrency mining industry is highly competitive. There are several publicly trading companies that mine cryptocurrency including Hut 8 Mining Corp. (TSX: HUT and Nasdaq: HUT), Hive Blockchain Technologies Ltd. (TSXV and NASDAQ: HIVE), Digihost Technology Inc. (TSXV: DGHI), Core Scientific Inc. (Formerly NASDAQ: CORZ); Riot Platforms, Inc. (NASDAQ: RIOT), Marathon Digital Holdings Inc (NASDAQ: MARA), Iris Energy Ltd. (NASDAQ: IREN), and CleanSpark Inc. (NASDAQ: CLSK). In addition, many other private companies are active in the industry.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difficult to obtain an accurate estimate of market share. As at March 6, 2024, the hashrate capacity of the Company’s installed facilities represented an estimated 1.2% of the entire Bitcoin network hashrate, being approximately 557 EH/s. Estimates of the Bitcoin network hashrate can be retrieved at www.blockchain.com/en/charts/hash-rate. According to internal estimates, management believes that its facilities collectively rank as one of the largest and most cost-effective public cryptocurrency mining operations as measured by installed energy and hash power.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4.14 HARDWARE AND SOFTWARE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main components of the Company’s cryptocurrency mining operations are specialized computers, frequently referred to as ASIC Miners, that consist of ASIC chips, power supply units (“PSU”), network components, security components, electronic components, cooling components and other ancillary hardware. The hardware is composed primarily of: (i) WhatsMiner M30S, M31s and M31s+ and Bitmain S19js miners, which currently comprise most of the Company’s mining power; and (ii) peripheral computer hardware required to operate the Miners. As at December 31, 2023, the Company owned and operated approximately 65,000 ASIC Miners. The majority of the Company’s currently operating ASIC Miners and those recently secured by purchase order in connection with the expansion plans are primarily manufactured by MicroBT and Bitmain Technologies Inc., each leading suppliers of ASIC Miners for the blockchain and Mining industry. The Miners are typically purchased directly from the manufacturer; however, during periods of elevated demand and pricing conditions, the Company has on occasion made purchases through secondary suppliers. The MGMT-2 software is used to control and to provide management, reporting and security of cryptographic coin mining systems. The Company’s software suite consists of three operating programs:</w:t>
      </w:r>
    </w:p>
    <w:p>
      <w:pPr>
        <w:spacing w:after="0" w:line="6" w:lineRule="exact"/>
        <w:rPr>
          <w:sz w:val="20"/>
          <w:szCs w:val="20"/>
          <w:color w:val="auto"/>
        </w:rPr>
      </w:pPr>
    </w:p>
    <w:p>
      <w:pPr>
        <w:jc w:val="both"/>
        <w:ind w:firstLine="8"/>
        <w:spacing w:after="0" w:line="253" w:lineRule="auto"/>
        <w:tabs>
          <w:tab w:leader="none" w:pos="2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software program that provides a real-time status report and reports problems in near-real time; (ii) a web interface, management software program that displays various events and alerts by sending short message service (“SMS”) messages or other alert methods; and, (iii) a software program that enables management and supervision of the cooling equipment (efficient cooling is an essential condition for the operation of the server farm). The software can be scaled to manage an unlimited number of ASIC components and sites. The software is regularly updated by the Company to incorporate new or upgraded features.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4.15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0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$ 146.4 million</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$ 142.4 million</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$ 169.5 million</w:t>
            </w: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from the sale of computational power used for hashing calculations, the provision of electrical services and the hosting of third-party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mining hardware.</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Revenues are from the sale of computational power used for hashing calculations and the provision of electrical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36"/>
        </w:trPr>
        <w:tc>
          <w:tcPr>
            <w:tcW w:w="45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Value of Bitcoin held</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million</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 million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 million</w:t>
            </w:r>
          </w:p>
        </w:tc>
      </w:tr>
      <w:tr>
        <w:trPr>
          <w:trHeight w:val="250"/>
        </w:trPr>
        <w:tc>
          <w:tcPr>
            <w:tcW w:w="4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Market price of Bitcoin</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42,300</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16,500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46,300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4.16 EMPLOYEES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and its subsidiaries have 170 employee positions on a global basis. The following table sets out the employees by department: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Department</w:t>
            </w:r>
          </w:p>
        </w:tc>
        <w:tc>
          <w:tcPr>
            <w:tcW w:w="3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0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&amp; Infrastructure</w:t>
            </w:r>
          </w:p>
        </w:tc>
        <w:tc>
          <w:tcPr>
            <w:tcW w:w="3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Operations – Site &amp; Project Managers</w:t>
            </w:r>
          </w:p>
        </w:tc>
        <w:tc>
          <w:tcPr>
            <w:tcW w:w="3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 Technicians</w:t>
            </w:r>
          </w:p>
        </w:tc>
        <w:tc>
          <w:tcPr>
            <w:tcW w:w="3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39"/>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Business Development, Finance, Administration, Investors Relations and Marketing</w:t>
            </w:r>
          </w:p>
        </w:tc>
        <w:tc>
          <w:tcPr>
            <w:tcW w:w="3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38"/>
        </w:trPr>
        <w:tc>
          <w:tcPr>
            <w:tcW w:w="8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3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35"/>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w:t>
            </w:r>
          </w:p>
        </w:tc>
        <w:tc>
          <w:tcPr>
            <w:tcW w:w="3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8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4.17 INTANGIBLE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invests in improvements to its proprietary software called MGMT-2. The source code used to operate the farms is owned by the Company and is in its possession and held in a private account. No patents have been registered on the software and no applications have been made to register or otherwise protect copyrights in the software or its components.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4.18 BANKRUPTCY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bankruptcies, receivership, or similar proceedings against Bitfarms or its respective subsidiaries, whether voluntary or otherwise, since incorporation and, to the knowledge of management, there are no such contingent or threatened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4.19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AIF, as well as the risk factors, uncertainties, and other information disclosed in the Company’s other public filings before making an investment decision regarding the Company’s securities.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Halving Event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May 2020, the BTC Block Reward decreased from 12.5 to 6.25 BTC per block (a “BTC Halving”), and, consequently, the number of new BTC issued to Miners as a subsidy decreased to approximately 900 per day, excluding transaction fees.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BTC Halving had a significant negative impact on the Company’s profitability for several months following the BTC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BTC Halving is that market variables of BTC price will adjust over time to ensure that Mining remains profitable. The period of market normalization after the next BTC Halving to incentivize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Once 21 million BTC are generated, the network will stop producing more. The next BTC Halving is expected to occur in April 2024, at which time BTC Block Rewards will decrease from 6.25 BTC per block to 3.125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BTC price and difficulty do not maintain or continue their trend of adjusting to pre-BTC Halving profitability levels over time, or the period of market normalization after the BTC Halving to pre-BTC Halving profitability levels is too long, there is a risk that a future BTC Halving will render the Company unprofitable for a sustained time period such that it could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Insolvency, Bankruptcy, or Cessation of Operations of Mining Pool Operator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been a member of multiple third-party Mining Pools; however, as of the date hereof, it participates in only one Mining Pool, being Foundry Pool. Foundry Pool is owned indirectly by Digital Currency Group, which also owns Genesis Global Capital (“Genesis”). On January 19, 2023, Genesis filed for U.S. bankruptcy protection. In the event that Foundry Pool (or any other Mining Pool in which the Company participates) ceases making payments to Bitfarms for whatever reason, including bankruptcy, insolvency or cessation of its operations, or for no reason, Bitfarms would expect to immediately cease contributing its Hash power to such Mining Pool and either: (i) join a different Mining Pool; or (ii) commence Mining independently. The Company estimates that such a switch would take approximately one day in either scenario. Given that Foundry Pool pays the Company on a daily basis, the cost of switching, if such a switch is ever deemed necessary by the Company, is expected to be the lost revenues the Company would have earned had it been Mining during that approximate one day period (and one additional day in the case Foundry Pool failed to pay the Company for its work, causing the decision to leave the Mining Pool). In the event that the Company is unable to make such a switch of its operations in a timely manner and its Mining operations experience significant down time, it may experience a material adverse change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Foreign Mining Pool Operator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Bitfarms participates in a single Mining Pool, being Foundry Pool. Consequently, the Company’s operations are substantially reliant on Foundry Pool and the terms of services and other terms and conditions that govern its relationship with Foundry Pool. Foundry Pool has the right to unilaterally modify the service agreement between it and the Company at any time without notice. This includes the right to modify the payout methodology or Mining Pool fees. In the event that any such modifications are unattractive or unacceptable to the Company, it may: (i) join a different Mining Pool; or (ii) commence Mining independently, either of which may cause a material adverse change. See risk factor </w:t>
      </w:r>
      <w:r>
        <w:rPr>
          <w:rFonts w:ascii="Times New Roman" w:cs="Times New Roman" w:eastAsia="Times New Roman" w:hAnsi="Times New Roman"/>
          <w:sz w:val="18"/>
          <w:szCs w:val="18"/>
          <w:i w:val="1"/>
          <w:iCs w:val="1"/>
          <w:color w:val="auto"/>
        </w:rPr>
        <w:t>Insolvency, Bankruptcy, or Cessation of Operations of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above.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the Company received from Foundry Pool. As of the date hereof, the Company has not identified any material discrepancies between its calculations and payments actually received from Foundry Pool. In the event that the Company identifies a material difference, the Company may have to engage in litigation and/or cease its relationship with Foundry Pool, either of which may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Pool Agreements Governed by Foreign Laws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agreement between the Company and Foundry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Mining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event the Company decides to cease participating in a Mining Pool and conduct Mining operations independently, it may be exposed to certain risks. Refer to Section 4 -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 causing a disruption in its revenue stream. In such a circumstance, the Company may need to borrow or raise additional capital to continue operations. There can be no guarantee that the Company could obtain any such financing on commercially attractive terms, or at all, and, consequently, the Company could experience a material adverse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Mining Pool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 material adverse change.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Manufacturing in Foreign Countries and the Importation of Equipment to the Jurisdictions in Which the Company Operates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in 2018 and 2019, the U.S. enacted tariffs (or increased existing tariffs) on certain items imported from other countries. Following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in a company with operations in emerging markets entails certain inherit risks.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Argentina and/or Paraguay may experience economic volatility and other challenges that could affect the Company’s business, financial condition and result of operations.</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The economies of Argentina and Paraguay are vulnerable to external shocks caused by significant economic difficulties of their respective trading partners or by more general “contagion” effects.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their balance of payments and, consequently, their respective economic growth.</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growth stagnated starting in 2012, and Argentina has struggled to curb strong inflationary pressures since, with inflation spiking in 2023. In particular, Argentina’s annual inflation rate for 2023 ended at 211.4%, the highest since the early 1990s, and it currently has one of the highest rates of inflation in the world. Argentina’s high rate of inflation may adversely impact the Company’s business, results of operation and financial condition in the future. Due to the political and economic uncertainties in Argentina, the Company is uncertain when, or if, the Argentine VAT receivable will be settled.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of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compared to foreign currencies; (iv) competitiveness and efficiency of domestic industries and services; (v) levels of domestic consumption and foreign and domestic investment and financing; and (vi) the rate of inflation. Any difficulties faced by the economies of Argentina and Paraguay or challenging or deteriorating financial condition of the same could have a material adverse effect on companies operating in Argentina and Paraguay, including the Company.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 conducts operations in countries known to experience high levels of corruption, and any violation of anti-corruption laws could subject us to penalties and other adverse consequences.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those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Company conducts operations in countries known to experience high levels of corruption, and any violation of anti-corruption laws could subject us to penalties and other adverse consequences.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operations in Argentina and Paraguay, which are jurisdictions perceived as having relatively high levels of corruption. The Company’s activities in those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otherwise committed on its behalf, including by its employees, directors, or other agents, could have a material adverse effect on the Company’s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Company’s operations in Argentina are subject to frequent and unpredictable changes in tax rates, capital controls, and foreign exchange restrictions, which may restrict or affect the profitability of the Company’s operations.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$16,600 to $44,700 during the year ended December 31, 2023 and ranged from approximately $15,600 to $48,100 during the year ended December 31, 2022. Although the Company partially hedges its investment in BTC, such hedging practices may not adequately protect the Company from BTC’s price volatility and surrounding risks.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 Further, some of the business decisions (e.g., purchases of Miners and debt financing) the Company has made, and may in the future make, were or will be tied to the price of BTC at the time of each of those decisions. For example, in 2021, the Company made purchase commitments in respect of a significant number of new Miners to be delivered and paid for during the year 2022, when BTC and Miner prices were much lower than at the time of such purchase. Although the Company was successful in renegotiating the agreement and canceling some of those purchase commitments, it may not be able to do so in the future.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Cryptocurrencies and related mining equipment may be subject to momentum pricing, which is typically associated with growth stocks and other assets whose valuation, as determined by the investing public, accounts for anticipated future appreciation in value. Further, the price of mining equipment is often tied to the price of cryptocurrencies and other cryptocurrency economics, such as mining difficulty and the value of corresponding rewards.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trading price of the Company’s common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Valuation and Price Volatility of Cryptocurrencies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is, and, in the future, is likely to continue to be, highly correlated to the trading price of BTC. BTC Mining companies' stock have shown volatility relative to BTC, with many such stocks outperforming BTC in 2020 and 2021 but underperforming relative to BTC in 2022. For example, the closing price of the Company’s common shares on December 31, 2022 was $0.44 and the closing price of BTC was approximately $16,500 and, as of December 30, 2023, the closing price of the Company’s common shares was $2.91 and the closing price of BTC was approximately $42,300.</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and financial condition have been and may continue to be adversely affected by declines in cryptocurrency market prices. In addition, the Company has made, and may continue to make, decisions concerning the execution of its business plan, including the development of its facilities and expansion into new markets, purchases of new Miners (or exercising any options it has to purchase new Miners) and incurrence of indebtedness, when BTC prices were, or may be, significantly higher or lower than they currently are, resulting in plans and obligations that the Company reassesses and likely will continue to reassess, particularly in light of potential general declines in cryptocurrency market prices, to determine the practicality, profitability and timeline of such plans and commitments.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2023 annual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have experienced wide fluctuations in price. The market price of the Company’s common shares ranged from $0.42 to $3.56 on Nasdaq and CAD$0.57 to CAD$4.68 on the Toronto Stock Exchange from January 1, 2023 to December 31, 2023. The market price of the Company’s common shares fluctuates significantly in response to a number of factors, most of which the Company cannot control and many of which have not necessarily been related to the operating performance, underlying asset values or prospects of the Company. In particular, the trading price of the Company’s common shares is in many cases directly tied to the price of BTC. Refer to “</w:t>
      </w:r>
      <w:r>
        <w:rPr>
          <w:rFonts w:ascii="Times New Roman" w:cs="Times New Roman" w:eastAsia="Times New Roman" w:hAnsi="Times New Roman"/>
          <w:sz w:val="18"/>
          <w:szCs w:val="18"/>
          <w:i w:val="1"/>
          <w:iCs w:val="1"/>
          <w:color w:val="auto"/>
        </w:rPr>
        <w:t>Valuation and Price Volatility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Cryptocurrencies and Mining Equipment</w:t>
      </w:r>
      <w:r>
        <w:rPr>
          <w:rFonts w:ascii="Times New Roman" w:cs="Times New Roman" w:eastAsia="Times New Roman" w:hAnsi="Times New Roman"/>
          <w:sz w:val="18"/>
          <w:szCs w:val="18"/>
          <w:color w:val="auto"/>
        </w:rPr>
        <w:t>” above for more details. Other factors that may impact the trading price of the Company’s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but are not limited to:</w:t>
      </w:r>
    </w:p>
    <w:p>
      <w:pPr>
        <w:spacing w:after="0" w:line="194"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between periods or as compared to the Company’s projections or the projections or actual results companies that are perceived to be similar to the Company;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its competitors, or others in the cryptocurrency industry, such as acquisitions, bankruptcies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 Price Fluctuations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or otherwise not currently known to the Company.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in the past, caused, and may, in the future, cause, the trading price of the Company’s common shares to decline. A continuation or worsening of the levels of market disruption and volatility seen in the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the subject of that type of litigation in the future, which litigation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which is generally considered to be a less efficient system than listing on a national exchange, such as the Toronto Stock Exchange and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2023, the Company had cash of $84.0 million, compared to $30.9 million as of December 31, 2022. The Company expects to continue to depend upon selling BTC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Future Capital Needs, Uncertainty of Additional Financing and Dilution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Company raises additional capital through the issuance of equity securities, the percentage ownership of the Company’s existing shareholders may be reduced, and such existing shareholders may experience additional dilution in net book value per share. Any such newly-issued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lenders as described in more detail in the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result of any such restrictive covenants, the Company could be limited in the manner in which it conducts its business, and it may be unable to engage in favorable business activities or finance future operations or capital needs. In addition, the indebtedness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Global Financial Conditions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Possibility of BTC Mining Algorithms Transitioning to Proof of Stake Validation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BTC shifts from a proof of work validation method to a proof of stake validation method, Mining would require less energy and may render any company that maintains advantages in the current climate (e.g., lower priced electricity, processing, real estate or hosting) less competitive. In September 2022, another prominent cryptocurrency, Ether, shifted from proof of work to a proof of stake validation method. If BTC switches to proof of stake validation in the future, Bitfarms, as a result of its efforts to optimize and improve the efficiency of its BTC Mining operations, may be exposed to the risk of losing the benefit of its capital investments and the competitive advantage Bitfarms hopes to gain from this as a result and may otherwise be negatively impacted. Such events could have a material adverse effect on Bitfarms’ ability to continue as a going concern or to profitably pursue its current growth strategy, which could have a material adverse effect on Bitfarms’ business, prospects or operations and potentially the value of any BTC that Bitfarms earns or otherwise acquires or holds for its own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2023, the Company had a net loss from continuing operations of $104.0 million, which net losses were generated as the Company executed its business plan and expands its bitcoin mining activities as bitcoin prices have at times been in a bear market. There is no assurance that the Company will be successful in achieving a return on shareholders’ investment or meeting other metrics of success, which is dependent on bitcoin prices, among other factors.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Hacking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may be vulnerable to intrusions by hackers who could interfere with and introduce defects into the Company’s Mining operations. Private keys which enable holders to transfer funds may also be lost or stolen, resulting in irreversible losses of cryptocurrencies.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available technology and invest in hardware and equipment required for maintaining and, as applicable, enhancing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Refer to Section 4.20 - </w:t>
      </w:r>
      <w:r>
        <w:rPr>
          <w:rFonts w:ascii="Times New Roman" w:cs="Times New Roman" w:eastAsia="Times New Roman" w:hAnsi="Times New Roman"/>
          <w:sz w:val="18"/>
          <w:szCs w:val="18"/>
          <w:i w:val="1"/>
          <w:iCs w:val="1"/>
          <w:color w:val="auto"/>
        </w:rPr>
        <w:t>DESCRIPTION OF BUSINESS - SUPPLY OF ELECTRICAL POWER, ELECTRICITY RATES, TERMS OF SERVICE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RÉGIE DE L’ÉNERGIE </w:t>
      </w:r>
      <w:r>
        <w:rPr>
          <w:rFonts w:ascii="Times New Roman" w:cs="Times New Roman" w:eastAsia="Times New Roman" w:hAnsi="Times New Roman"/>
          <w:sz w:val="18"/>
          <w:szCs w:val="18"/>
          <w:color w:val="auto"/>
        </w:rPr>
        <w:t>of this AIF.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and intends to continue using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Company’s existing Mining farms, will require additional capital to fund expenses. The Company’s operating expenses and capital expenditures may also increase in future years as it adds consultants, personnel and equipment associated with the maintenance of its Mining farms and any other Mining farms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MD&amp;A)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spacing w:after="0" w:line="17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Significant costs and demands upon Management and accounting and finance resources as a result of complying with the laws and regulations affecting public companies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incurs significant administrative, legal, accounting and other burdens and 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obligations.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and impact of restatement of the Company’s historical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restated certain historical financial statements to reflect a correction to its accounting for warrants issued in the 2021 private placements. Specifically, the Company had previously accounted for the warrants as equity instruments; however, in connection with the preparation of its financial statements for the year ended December 31, 2023, Management concluded that the proper accounting classification of the warrants was as financial liabilities due to the cashless exercise feature included in the warrants. For more information, see Note - 3e - </w:t>
      </w:r>
      <w:r>
        <w:rPr>
          <w:rFonts w:ascii="Times New Roman" w:cs="Times New Roman" w:eastAsia="Times New Roman" w:hAnsi="Times New Roman"/>
          <w:sz w:val="18"/>
          <w:szCs w:val="18"/>
          <w:i w:val="1"/>
          <w:iCs w:val="1"/>
          <w:color w:val="auto"/>
        </w:rPr>
        <w:t>Basis of Presentation and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Policy Information- Restatement </w:t>
      </w:r>
      <w:r>
        <w:rPr>
          <w:rFonts w:ascii="Times New Roman" w:cs="Times New Roman" w:eastAsia="Times New Roman" w:hAnsi="Times New Roman"/>
          <w:sz w:val="18"/>
          <w:szCs w:val="18"/>
          <w:color w:val="auto"/>
        </w:rPr>
        <w:t>of the 2023 annual financial statement It is difficult to predict all of the ramifications to the Company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restatement. The restatement process was time and resource-intensive and involved substantial attention from management and significant costs and expenses, including for professional advisors assisting with the restatement. Although the restatement is now completed, it is possible that the Company will receive inquiries from the SEC, Canadian securities regulators, TSX and/or Nasdaq regarding the restated financial statements or related matters, which could consume a significant amount of resources.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Comprehensive Accounting Guidance for Cryptocurrencies under IFRS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there has been limited precedent set and a lack of specific accounting guidance for cryptocurrencies under certain applicable accounting standards, including, among other things, revenue recognition, it is unclear how Bitcoin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Bitcoin-related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 In addition, the accounting policies of many Bitcoin mining companies are being subjected to heightened scrutiny by regulators and the public. More specifically, the Company received comments from the staff of the SEC’s Division of Corporation Finance Office of Crypto Assets on the financial statements included in the Company’s annual report on Form 40-F for the year ended December 31, 2022 filed with the SEC, which comments focused on the accounting of the Company’s Bitcoin-related operations. Some of those comments have not yet been resolved.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as a result of the SEC’s determinations as to the application of the relevant IFRS Accounting Standards and the resolution of the Company’s SEC comments, the Company could be obligated in the future to restate historical financial statements. In connection with any such restatement, as well as the warrant accounting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continued uncertainty with regard to financial accounting matters, particularly as they relate to the Company, the financial accounting of its bitcoin-related operations and the SEC comments the Company has received in respect of such matters, could negatively impact the Company’s business, prospects, financial condition and results of operations and its ability to raise capital on terms acceptable to the Company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Material Weakness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Internal Control Material Weakness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course of preparing the financial statements for the year ended December 31, 2023, Management identified a material weakness in the effectiveness of the Company’s ICFR for each of the years ended December 31, 2021, 2022 and 2023 related to the classification of warrants as financial liabilities that resulted in the restatement of the Company’s financial statements for the year ended December 31, 2022. For more information, including a description of the remediation efforts that the Company believes are required to address the identified material weakness, refer to the “Disclosure Controls and Procedures” and “Internal Control over Financial Reporting” sections in the MD&amp;A.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5.2 - </w:t>
      </w:r>
      <w:r>
        <w:rPr>
          <w:rFonts w:ascii="Times New Roman" w:cs="Times New Roman" w:eastAsia="Times New Roman" w:hAnsi="Times New Roman"/>
          <w:sz w:val="18"/>
          <w:szCs w:val="18"/>
          <w:i w:val="1"/>
          <w:iCs w:val="1"/>
          <w:color w:val="auto"/>
        </w:rPr>
        <w:t>FUTURE GROWTH PLANS - ARGENTINA EXPANSION,</w:t>
      </w:r>
      <w:r>
        <w:rPr>
          <w:rFonts w:ascii="Times New Roman" w:cs="Times New Roman" w:eastAsia="Times New Roman" w:hAnsi="Times New Roman"/>
          <w:sz w:val="18"/>
          <w:szCs w:val="18"/>
          <w:color w:val="auto"/>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“1940 Act”),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22, 2023, the Canadian Department of Finance released the Budget Implementation Act, Bill c.47, a set of legislation to implement certain tax measures. These tax measures include restricting the ability of cryptocurrency Mining companies to claim back the consumption taxes they incur on purchases of goods and services made in Canada and imports into Canada with a date of enactment of February 5, 2022.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or Internet Failures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server farms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Existing and prospective shareholders should consult their own tax advisors with respect to any tax considerations that may be relevant to an investment in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due to changes in, or the imposition of new, environmental regulations has the potential to reduce the profitability of the Company’s operations, cause delays in the development of its Mining projects or, in extreme cases, lead to the Company not being able to operate fully or at all in one or more of the jurisdictions in which it currently has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produce computational power. As of the date of this AIF , approximately 74% of the Company’s energy requirements are met by hydro-electricity.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for such matters may be significant and could have a material adverse effect on the Company.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ESG Practices and the Impacts of Climate Change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Management’s time and energy may be diverted from executing on the Company’s strategic goals towards responding to such scrutiny and addressing and enhancing the Company’s ESG practices, which may not enhance the value of the Company’s common shares or positively impact shareholder return.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 of the Company’s operations. Other factors which may impact the Company’s profitability include, but are not limited to, demand for BTC and other cryptocurrencies, insurance and other operating costs, and damage incurred as a result of extreme weather events. New environmental laws, regulations or industry standards may be adopted with little or no notice to the Company and may impose significant operational restrictions and compliance requirements on the Company’s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Legislation and Scrutiny Regarding Human Rights Issues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7"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Developments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Section 5 - </w:t>
      </w:r>
      <w:r>
        <w:rPr>
          <w:rFonts w:ascii="Times New Roman" w:cs="Times New Roman" w:eastAsia="Times New Roman" w:hAnsi="Times New Roman"/>
          <w:sz w:val="18"/>
          <w:szCs w:val="18"/>
          <w:i w:val="1"/>
          <w:iCs w:val="1"/>
          <w:color w:val="auto"/>
        </w:rPr>
        <w:t>FUTURE GROWTH PLANS</w:t>
      </w:r>
      <w:r>
        <w:rPr>
          <w:rFonts w:ascii="Times New Roman" w:cs="Times New Roman" w:eastAsia="Times New Roman" w:hAnsi="Times New Roman"/>
          <w:sz w:val="18"/>
          <w:szCs w:val="18"/>
          <w:color w:val="auto"/>
        </w:rPr>
        <w:t>, for a discussion of the status of the Company’s various development efforts, including, in particular, in Argentina and Paraguay.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and Anchorage Digital, is not insured. Although Coinbase Custody maintains an insurance policy of $320 million for its cold storage and Anchorage Digital maintains an insurance policy of an aggregate of $50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that are not adequately covered by insurance or for which insurance coverage is not available or has not been obtained could adversely impact the Company, including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ectPr>
          <w:pgSz w:w="11900" w:h="16838" w:orient="portrait"/>
          <w:cols w:equalWidth="0" w:num="1">
            <w:col w:w="11240"/>
          </w:cols>
          <w:pgMar w:left="320" w:top="927"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of acceptance and/or Widespread Use of Cryptocurrencies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cryptocurrencies are not widely used in the retail and commercial marketplaces in comparison worldwide. Cryptocurrency payment methods have not been widely adopted as a means of a payment for commercial outlets. A significant portion of cryptocurrency demand may be attributable to speculation.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hanging="52"/>
        <w:spacing w:after="0" w:line="282" w:lineRule="auto"/>
        <w:rPr>
          <w:sz w:val="20"/>
          <w:szCs w:val="20"/>
          <w:color w:val="auto"/>
        </w:rPr>
      </w:pPr>
      <w:r>
        <w:rPr>
          <w:rFonts w:ascii="Times New Roman" w:cs="Times New Roman" w:eastAsia="Times New Roman" w:hAnsi="Times New Roman"/>
          <w:sz w:val="18"/>
          <w:szCs w:val="18"/>
          <w:color w:val="auto"/>
        </w:rPr>
        <w:t>to purchases of overall cryptocurrencies goods and services by major retail and</w:t>
      </w:r>
    </w:p>
    <w:p>
      <w:pPr>
        <w:spacing w:after="0" w:line="377" w:lineRule="exact"/>
        <w:rPr>
          <w:sz w:val="20"/>
          <w:szCs w:val="20"/>
          <w:color w:val="auto"/>
        </w:rPr>
      </w:pPr>
    </w:p>
    <w:p>
      <w:pPr>
        <w:sectPr>
          <w:pgSz w:w="11900" w:h="16838" w:orient="portrait"/>
          <w:cols w:equalWidth="0" w:num="2">
            <w:col w:w="8160" w:space="80"/>
            <w:col w:w="3000"/>
          </w:cols>
          <w:pgMar w:left="320" w:top="927"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High-voltage Electricity Transmission and Industrial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 See "</w:t>
      </w:r>
      <w:r>
        <w:rPr>
          <w:rFonts w:ascii="Times New Roman" w:cs="Times New Roman" w:eastAsia="Times New Roman" w:hAnsi="Times New Roman"/>
          <w:sz w:val="18"/>
          <w:szCs w:val="18"/>
          <w:i w:val="1"/>
          <w:iCs w:val="1"/>
          <w:color w:val="auto"/>
        </w:rPr>
        <w:t>The Company conducts operations in countries known to experience high levels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corruption, and any violation of anti-corruption laws could subject us to penalties and other adverse consequences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 and Infectious Disease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could have an adverse impact on the global economy, the economies of the jurisdictions where the Company operates and the Company's business, including adverse changes to the way the Company and its counterparties operate and the ability of the Company to execute on its strategic goals and expansion plans in a timely manner or at all, and on the Company's financial condition and results of operations.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4.20 SUPPLY OF ELECTRICAL POWER, ELECTRICITY RATES, TERMS OF SERVICE AND THE RÉGIE DE L’ÉNERGIE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operations in the Province of Québec, Washington State, Paraguay and Argentina. The Company’s current and future operations and anticipated growth, and the sustainability of hydro-electricity and natural gas at economical prices for the purposes of cryptocurrency Mining in multiple locations, poses certain risks. These risks as well as the supply of electrical power, electricity rates, terms of service and regulatory regimes are summarized as follows: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the city of Baie-Comeau, Grant PUD, CLYFSA and Generación Mediterranea S.A. Regulated power suppliers may be subject to public policy initiatives and economic development programs which may or may not support the crypto mining industry. There can be no assurance that electricity will continue to be provided in the future or not curtailed to accommodate other users, or otherwise made available on terms which are economic for the Company’s current and future operations, anticipated growth, and sustainability. Any suspension or cessation of power supply, failure of electrical networks, or changes in cost structure which are not economic, in the jurisdictions where the Company utilizes power for its operations, could result in a material adverse effect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w:t>
      </w:r>
      <w:r>
        <w:rPr>
          <w:rFonts w:ascii="Times New Roman" w:cs="Times New Roman" w:eastAsia="Times New Roman" w:hAnsi="Times New Roman"/>
          <w:sz w:val="18"/>
          <w:szCs w:val="18"/>
          <w:i w:val="1"/>
          <w:iCs w:val="1"/>
          <w:color w:val="auto"/>
        </w:rPr>
        <w:t>Régie de l’énergie du Québec</w:t>
      </w:r>
      <w:r>
        <w:rPr>
          <w:rFonts w:ascii="Times New Roman" w:cs="Times New Roman" w:eastAsia="Times New Roman" w:hAnsi="Times New Roman"/>
          <w:sz w:val="18"/>
          <w:szCs w:val="18"/>
          <w:color w:val="auto"/>
        </w:rPr>
        <w:t xml:space="preserve"> (the “Régie”) by giving the Government of Québec the power to determine by regulation the cases in which Hydro-Québec, or any other electrical service provider, may be exempt from their obligation to provide electricity to industrial clients in the Province of Québec.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Hydro-Québec supplies power to certain of the Company’s facilities, and to the Municipal Electrical Networks for the Magog, Baie-Comeau and Sherbrooke facilities.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Québec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4" w:lineRule="exact"/>
        <w:rPr>
          <w:sz w:val="20"/>
          <w:szCs w:val="20"/>
          <w:color w:val="auto"/>
        </w:rPr>
      </w:pPr>
    </w:p>
    <w:p>
      <w:pPr>
        <w:jc w:val="both"/>
        <w:ind w:left="340" w:hanging="332"/>
        <w:spacing w:after="0" w:line="261"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4.20 SUPPLY OF ELECTRICAL POWER, ELECTRICITY RATES, TERMS OF SERVICE AND THE RÉGIE DE L’ÉNERGIE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ind w:left="340" w:hanging="332"/>
        <w:spacing w:after="0" w:line="25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Québec expansion projects, it would be required to participate in the call for tenders process. However, the Régie’s decision also meant that the Company’s pre-existing operations in the Province of Québec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Facilities in Québec. A shut down of 95% of operations for the maximum of 300 hours could result in a revenue decrease of approximately 3.4%.</w:t>
      </w:r>
    </w:p>
    <w:p>
      <w:pPr>
        <w:spacing w:after="0" w:line="19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had already executed agreements with municipal electricity networks with non-firm service (without financial compensation) for at least 300 hours per year;</w:t>
      </w:r>
    </w:p>
    <w:p>
      <w:pPr>
        <w:ind w:left="660" w:right="20" w:hanging="328"/>
        <w:spacing w:after="0" w:line="250"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would be subject to non-firm service without financial compensation. The treatment of those new clients must be fair and equitable with existing clients; and</w:t>
      </w:r>
    </w:p>
    <w:p>
      <w:pPr>
        <w:ind w:left="660" w:right="20" w:hanging="328"/>
        <w:spacing w:after="0" w:line="260"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was estimated to represent only 3.4% of the 8,760 hours in a year. The Régie did not consider this request unreasonable considering the risks that cryptocurrency clients represent for Hydro-Québec.</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4.20 SUPPLY OF ELECTRICAL POWER, ELECTRICITY RATES, TERMS OF SERVICE AND THE RÉGIE DE L’ÉNERGIE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Hydro-Québec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Hydro-Quebec’s request to reduce the amount of power allocated to zero.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already allocated. Hydro-Quebec requested, and the Régie accepted, that such new process be presented on or before January 31, 2024. The hearing is expected to be held between May 13 and June 21,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Company’s complaint was suspended at the request of the parties while the Company and Hydro-Quebec entered into direct discussions. On January 17, 2024, after settlement discussions proved to be unsuccessful, the Company requested the reactivation of the complaint and that a date of hearing be fixed.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4.20 SUPPLY OF ELECTRICAL POWER, ELECTRICITY RATES, TERMS OF SERVICE AND THE RÉGIE DE L’ÉNERGIE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Facility is subject to a preferential rate of 5% on its first 5 MW of power; and the Farnham Facility is subject to a preferential rate of 20% on its first 10 MW of power.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in its operations in Washington State may adversely impact its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completed the construction of a 10 MW facility in Paraguay (Villarrica). The facility is powered by CLYFSA. CLYFSA is the only private energy distribution company in Paraguay which purchases energy from ANDE, the operator of Paraguay’s national electricity grid, and provides power to almost 15,000 residential and commercial customers in Villarrica.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4.20 SUPPLY OF ELECTRICAL POWER, ELECTRICITY RATES, TERMS OF SERVICE AND THE RÉGIE DE L’ÉNERGIE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Paraguay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two power purchase agreements in Paraguay for up to 150 MW of hydro power until December 31, 2027: up to 50 MW in Villarrica, in close proximity to the Company’s existing operations in Paraguay, and up to 100 MW in Yguazu, a new location close to the Itaipú dam, the third largest hydro-electric dam in the world. Hydro power at both locations will be provided by ANDE at a contracted cost of approximately $0.039 per kWh, before VAT, until December 31, 2027, and is not subject to annual inflationary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commenced the construction of a 56 MW facility in Argentina (Rio Cuarto - Cordoba). Construction concluded during Q3 2022, and the site started operations gradually by adding 10MW modules at a time until September 2023, when it became fully operational. The facility receives electricity from Generacion Mediterranea S.A. (“GMSA”), one of the subsidiaries of Grupo Albanesi. Grupo Albanesi is an Argentine private corporate group focused on the energy market which provides natural gas and electrical energy to its clients from its multiple facilities.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DESCRIPTION OF BUSINESS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4.20 SUPPLY OF ELECTRICAL POWER, ELECTRICITY RATES, TERMS OF SERVICE AND THE RÉGIE DE L’ÉNERGIE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Argentina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agreement also allows for GMSA to renegotiate the $0.02 per kWh rate if the ratio of the exchange rate under the blue-chip swap mechanism (refer to section 8d - </w:t>
      </w:r>
      <w:r>
        <w:rPr>
          <w:rFonts w:ascii="Times New Roman" w:cs="Times New Roman" w:eastAsia="Times New Roman" w:hAnsi="Times New Roman"/>
          <w:sz w:val="18"/>
          <w:szCs w:val="18"/>
          <w:i w:val="1"/>
          <w:iCs w:val="1"/>
          <w:color w:val="auto"/>
        </w:rPr>
        <w:t>Net financial income</w:t>
      </w:r>
      <w:r>
        <w:rPr>
          <w:rFonts w:ascii="Times New Roman" w:cs="Times New Roman" w:eastAsia="Times New Roman" w:hAnsi="Times New Roman"/>
          <w:sz w:val="18"/>
          <w:szCs w:val="18"/>
          <w:color w:val="auto"/>
        </w:rPr>
        <w:t xml:space="preserve"> of the MD&amp;A) used in Argentina to the official exchange rate is less than 1.50. The $0.02 per kWh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specifies certain situations where the Company’s supply of electricity can be interrupted, including:</w:t>
      </w:r>
    </w:p>
    <w:p>
      <w:pPr>
        <w:spacing w:after="0" w:line="2" w:lineRule="exact"/>
        <w:rPr>
          <w:sz w:val="20"/>
          <w:szCs w:val="20"/>
          <w:color w:val="auto"/>
        </w:rPr>
      </w:pPr>
    </w:p>
    <w:p>
      <w:pPr>
        <w:ind w:left="34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agreement with GMSA to receive power at its facility in Rio Cuarto at a fixed rate of 2.1 cents per kWh for the months of November through April 2024, which is expected to lower the Company’s blended cost of power over a full year of operations at approximately 2.5 cents per kWh plus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4.21 SPECIALIZED SKILL KNOWLEDGE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Nicolas Bonta, Emiliano J. Grodzki, Ben Gagnon and Benoit Gobeil have been engaged in both small and commercial-scale cryptocurrency mining for several years prior to joining the Company. See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FUTURE GROWTH PLANS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described its recently completed and future expansion plans below under the sections, </w:t>
      </w:r>
      <w:r>
        <w:rPr>
          <w:rFonts w:ascii="Times New Roman" w:cs="Times New Roman" w:eastAsia="Times New Roman" w:hAnsi="Times New Roman"/>
          <w:sz w:val="18"/>
          <w:szCs w:val="18"/>
          <w:i w:val="1"/>
          <w:iCs w:val="1"/>
          <w:color w:val="auto"/>
        </w:rPr>
        <w:t>“Argentina Expansion”, “Paraguay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“Washington Expansion” and “Canada Expansion”.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Future Growth plans may change based on, among other factors, the prevailing price of Bitcoin, network difficulty, supply of cryptocurrency mining equipment, supply of electrical and other supporting infrastructure equipment, construction materials, currency exchange rates, and the Company’s ability to fund the initiatives. The Company’s future growth plans are reliant on a consistent supply of electricity at cost-effective rates, see Section 4.20 - </w:t>
      </w:r>
      <w:r>
        <w:rPr>
          <w:rFonts w:ascii="Times New Roman" w:cs="Times New Roman" w:eastAsia="Times New Roman" w:hAnsi="Times New Roman"/>
          <w:sz w:val="18"/>
          <w:szCs w:val="18"/>
          <w:i w:val="1"/>
          <w:iCs w:val="1"/>
          <w:color w:val="auto"/>
        </w:rPr>
        <w:t>SUPPLY OF ELECTRICAL POWER, ELECTRICITY RATES, TERMS OF SERVICE AND THE RÉGIE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L’ÉNERGIE </w:t>
      </w:r>
      <w:r>
        <w:rPr>
          <w:rFonts w:ascii="Times New Roman" w:cs="Times New Roman" w:eastAsia="Times New Roman" w:hAnsi="Times New Roman"/>
          <w:sz w:val="18"/>
          <w:szCs w:val="18"/>
          <w:color w:val="auto"/>
        </w:rPr>
        <w:t>of this AIF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CAUTIONARY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Estimates in this section are based on, among other factors, the estimated size of facilities, the planned capital expenditures associated with the project, the number of Miners which may be configured within the facility, and prevailing economic circumstances and currency exchange rates. In the event that the assumptions used to project the impact of new server farms, including the still pending Company’s expansion plans described above, prove to be inaccurate or incorrect, there can be no guarantee that the new servers will increase the Company’s computing power as projected. Among other factors, there can be no guarantee that the Company will be able to obtain a continued supply of electricity to power its new facilities at commercially attractive rates. See Section 4.20 -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SUPPLY OF ELECTRICAL POWER, ELECTRICITY RATES, TERMS OF SERVICE AND THE RÉGIE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L’ÉNERGIE.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there can be no assurance that the Company’s facilities can be operated on a profitable basis. The foregoing information is forward-looking information for the purposes of applicable securities laws in Canada and readers are cautioned that actual results may vary from those described. See Section 1.4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and 4.19 -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AIF</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ARGENTINA EXPANSION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2021, the Company entered into an eight-year power purchase agreement for up to 210 MW with a private Argentinian power producer in the city of Rio Cuarto, Province of Cordoba (the “</w:t>
      </w:r>
      <w:r>
        <w:rPr>
          <w:rFonts w:ascii="Times New Roman" w:cs="Times New Roman" w:eastAsia="Times New Roman" w:hAnsi="Times New Roman"/>
          <w:sz w:val="18"/>
          <w:szCs w:val="18"/>
          <w:b w:val="1"/>
          <w:bCs w:val="1"/>
          <w:color w:val="auto"/>
        </w:rPr>
        <w:t>Power Producer</w:t>
      </w:r>
      <w:r>
        <w:rPr>
          <w:rFonts w:ascii="Times New Roman" w:cs="Times New Roman" w:eastAsia="Times New Roman" w:hAnsi="Times New Roman"/>
          <w:sz w:val="18"/>
          <w:szCs w:val="18"/>
          <w:color w:val="auto"/>
        </w:rPr>
        <w:t xml:space="preserve">”), with an electricity cost of US$0.02 per kilowatt-hour for the first four years, up to a maximum amount of 1,103,760 megawatt hours per year (on a pro-rata basis for a consumption of 210 MW), and is subject to certain adjustments, variable pricing components and consumption limitations. The pricing on the remaining four years of the eight-year energy contract will be determined by a formula that is largely dependent on natural gas prices. The agreement also allows for the Power Producer to renegotiate the rate if the ratio of the exchange rate under the blue-chip mechanism used in Argentina to the official exchange rate is less than 1.50. For further details, refer to Section 4.20 -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BUSINESS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SUPPLY OF ELECTRICAL POWER, ELECTRICITY RATES, TERMS OF SERVICE AND THE RÉGIE DE L’ÉNERGIE.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an eight-year lease agreement, comprising annual payments of approximately $0.1 million, with the Power Producer to lease land within the Power Producer’s property for the mining facility’s construction and operation in the Province of Cordoba (the “</w:t>
      </w:r>
      <w:r>
        <w:rPr>
          <w:rFonts w:ascii="Times New Roman" w:cs="Times New Roman" w:eastAsia="Times New Roman" w:hAnsi="Times New Roman"/>
          <w:sz w:val="18"/>
          <w:szCs w:val="18"/>
          <w:b w:val="1"/>
          <w:bCs w:val="1"/>
          <w:color w:val="auto"/>
        </w:rPr>
        <w:t>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Cuarto Facility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ARGENTINA EXPANSION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contract with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Pursuant to an agreement signed with LPZ Hosting S.A.S (“</w:t>
      </w:r>
      <w:r>
        <w:rPr>
          <w:rFonts w:ascii="Times New Roman" w:cs="Times New Roman" w:eastAsia="Times New Roman" w:hAnsi="Times New Roman"/>
          <w:sz w:val="18"/>
          <w:szCs w:val="18"/>
          <w:b w:val="1"/>
          <w:bCs w:val="1"/>
          <w:color w:val="auto"/>
        </w:rPr>
        <w:t>LPZ</w:t>
      </w:r>
      <w:r>
        <w:rPr>
          <w:rFonts w:ascii="Times New Roman" w:cs="Times New Roman" w:eastAsia="Times New Roman" w:hAnsi="Times New Roman"/>
          <w:sz w:val="18"/>
          <w:szCs w:val="18"/>
          <w:color w:val="auto"/>
        </w:rPr>
        <w:t>”), LPZ is responsible for the detail engineering, purchasing management and execution of louvers, sound and noise system, electric installation, data network installation, air conditioning system, air extraction and filter systems, racks, closed-circuit television (“CCTV”), fire detection and extinguisher system as well as installation of all low voltage works. Ingenia Grupo Consultor and Gieco S.A. (“</w:t>
      </w:r>
      <w:r>
        <w:rPr>
          <w:rFonts w:ascii="Times New Roman" w:cs="Times New Roman" w:eastAsia="Times New Roman" w:hAnsi="Times New Roman"/>
          <w:sz w:val="18"/>
          <w:szCs w:val="18"/>
          <w:b w:val="1"/>
          <w:bCs w:val="1"/>
          <w:color w:val="auto"/>
        </w:rPr>
        <w:t>Ingenia</w:t>
      </w:r>
      <w:r>
        <w:rPr>
          <w:rFonts w:ascii="Times New Roman" w:cs="Times New Roman" w:eastAsia="Times New Roman" w:hAnsi="Times New Roman"/>
          <w:sz w:val="18"/>
          <w:szCs w:val="18"/>
          <w:color w:val="auto"/>
        </w:rPr>
        <w:t>”) were retained as a consortium group responsible for the construction of the provisional high voltage powerline and transformer station as well as the expansion of the 132 KW public bars of the power plant. Ingenia, under the supervision of LPZ, was also selected to carry out electrical data and CCTV assembly work for the first warehouse. The Company has also engaged Dreicon S.A. as an independent engineering firm to oversee construction, quality control and project milestones for the Company’s projected buildout schedule.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Rio Cuarto Facility, if fully developed, is expected to be built as four separate warehouse style buildings with a capacity to accommodate over 55,000 new generation Miners and be capable of producing approximately 5.5 EH/s. The first warehouse, which was included in the capacity needed to reach the corporate 5.0 EH/s target for 2022, represents approximately 50 MW of incremental infrastructure capacity.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19, 2022, the Company announced it has initiated production in the first 10 MW module of the First Warehouse at the Rio Cuarto Facility, increasing the total number of farms operated by the Company to ten, and the total operational hashrate to 4.1 EH/s.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 2022, the Company reported that Argentina was wrestling with high inflation, currency devaluation and a significant debt burden. To alleviate concerns about a drain on the Argentina Central Bank’s foreign currency reserves, trade approval for the importation of most goods, including Mining and IT equipment, had been imposed in the Country, adversely affecting the Company’s ability to import in Argentina the additional Miners needed to operate the first warehouse at its full capacity of 50 MW. Additionally, it was also announced that the Power Producer was awaiting approval of its final operation permit. In the meantime, the Rio Cuarto Facility was drawing power during the start-up and commissioning phase from the provincial electrical utility at a higher cost than the expected contracted cost of power under the agreement with the Power Producer. As at December 31, 2022, the adverse impact of recent geopolitical events on natural gas prices, as well as new importation restrictions, are leading the Company to revise the timing to fully utilize the infrastructure built in the first 50 MW warehouse and to reassess the timing of its build-out and deployment of further production facilities at the Rio Cuarto location.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3, 2023, the Company announced that it had completed construction of the first 50 MW warehouse in the Rio Cuarto Facility and expected it to be fully commissioned during the first six months of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Management elected to postpone the development of additional infrastructure in Argentina until (i) the private Argentinian power producer obtains an increased power permit, (ii) certain political and economic uncertainties in Argentina have been resolved or become attenuated and (iii) natural gas prices stabilize at an acceptable level.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in anticipation of the power permit approval, the Company, using credits and cash, purchased over 6,200 new Bitmain and MicroBT Miners to fill out an additional 22 MW in the Argentinian facility. Those new Miners were installed in the third quarter of 2023 and improved the overall W/TH efficiency and increased the hashrate of the facility.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ARGENTINA EXPANSION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2023, the Company confirmed the receipt of the necessary power permits by the private Argentinian power producer to expand production at its Argentina facility. The current permits in place allow up to 100 MW of power capacity. The Company completed testing of its Rio Cuarto substation and began to draw power from the private power producer. The Company installed 2,100 new Miners that were delivered in March and April 2023. Energizing those miners and ending underclocking of previously installed miners in line with improved economics increased the active capacity to 18 MW and the Company’s operational hashrate to over 5.0 EH/s.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power from the private Argentinian power producer enabled the Company to commence purchasing low-cost power under its purchase agreement at approximately $0.03 per kWh, before VAT, on an annualized basis, or possibly less as the Company reaches full capacity at the facility. The Company’s cost of BTC earned at that farm decreased substantially as it actively scaled up operations at the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1,650 Bitmain S19 Pro Miners were purchased for Argentina at an average direct cost of $12.98/TH, in addition to the 6,200 Miners purchased in April 2023. In addition, 2,900 MicroBT Miners were delivered, installed and energized, contributing an additional 290 PH/s and driving the Company’s operational hashrate to 5.3 EH/s as of June 30,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and September 2023, approximately 1,300 new M50 WhatsMiner miners, 700 new S19j Pro Antminer Miners and 5,500 new S19j Pro+ Antminer Miners were imported and installed, increasing the warehouse’s capacity to 51 MW and operational hashrate to 1.5 EH/s. Approximately 600 additional M50 WhatsMiner miners were installed in October 2023, further increasing the warehouse’s capacity to 54 MW and operational hashrate to 1.6 EH/s.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 prepaid contract with its Argentinian private power producer, to receive power at the Rio Cuarto facility at the rate of 2.1 cents per kWh plus VAT for the months of November 2023 through April 2024. This contract is expected to significantly lower the Company’s blended cost of power to an average of 2.5 cents per kWh plus VAT for the first year of full operations at that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2023, the newly elected President, Javier Milei, took office. Self-described as right-wing libertarian, his agenda includes pro-market policies with an aim to address budget deficits and combat high inflation rates and currency devaluation. Furthermore, the new administration has announced measures to ease import restrictions and provide an incentive to attract foreign direct investments. It is also believed President Milei is receptive to the overall crypto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 as of December 31,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placed deposits of $4.0 million with suppliers for existing and additional construction work. Overall, in Argentina, the Company has also acquired $63.3 million of property, plant and equipment, incurred $0.3 million of expenditures relating to design and feasibility studies and recorded cumulative gains on the disposition of marketable securities of $70.0 million associated with the mechanism to convert funds into Argentine Pesos for disbursements.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upgrade its current fleet of miners in Rio Cuarto during Q4 2024 with new T21 Miners, which is expected to increase the online hashrate from 1.6 EH/s to 2.4 EH/s by December 31, 2024, assuming the Purchase Option is exercised.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the Company is not yet in a position to determine when or if construction of additional infrastructure in Argentina will commence. The Company will monitor general macroeconomic conditions and the evolution of the new administration’s economic program in assessing its expansion plans in the country.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employed 31 team members in Argentina.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PARAGUAY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an annually renewable 10 MW power purchase agreement with the city of Villarrica electricity distribution company,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at an effective electricity cost of $0.036 per kilowatt hour. The Company also entered into a five-year lease agreement with a third party, consisting of monthly payments of $20,000, beginning August 1, 2021, to lease land where the Villarrica Facility was constructed. The construction of the facility, at a cost of $1.1 million, was completed in December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2022 2,900 of the Company’s older generation Miners were installed at the Villarrica Facility, capable of producing approximately 125 PH/s.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Paraguayan Congress approved a bill regulating the mining, trading, intermediation, exchange, transfer, custody and administration of crypto-assets and instruments that would allow control of crypto-assets. The proposed legislation aimed to create an attractive regulatory environment within the country through the establishment of a straightforward licensing regime that clearly establishes the requirements to operate crypto-assets activities in the Country. Approved by both chambers, the law was submitted to the executive branch, where the President has the power to approve or veto it. On August 30, 2022, the law was vetoed by the President and was returned to the congress to be discussed again. It is unknown if a new law will be approved and when. The absence of specific law regarding crypto assets has not impacted the Company’s current operations in the country.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2022, the executive branch issued decree No. 7824/22 by which the National Electricity Administration (“</w:t>
      </w:r>
      <w:r>
        <w:rPr>
          <w:rFonts w:ascii="Times New Roman" w:cs="Times New Roman" w:eastAsia="Times New Roman" w:hAnsi="Times New Roman"/>
          <w:sz w:val="18"/>
          <w:szCs w:val="18"/>
          <w:b w:val="1"/>
          <w:bCs w:val="1"/>
          <w:color w:val="auto"/>
        </w:rPr>
        <w:t>ANDE</w:t>
      </w:r>
      <w:r>
        <w:rPr>
          <w:rFonts w:ascii="Times New Roman" w:cs="Times New Roman" w:eastAsia="Times New Roman" w:hAnsi="Times New Roman"/>
          <w:sz w:val="18"/>
          <w:szCs w:val="18"/>
          <w:color w:val="auto"/>
        </w:rPr>
        <w:t>”) was requested to adopt complementary and temporary regulatory measures to adjust the variables corresponding to the electricity rates aimed at special intensive consumption sectors. In this context, ANDE, through resolution No. 7824/22, dated October 4, 2022, created the Special Intensive Consumption Group, which includes supplies at very high voltage (220 kV), high voltage (66 kV), medium voltage (23 kV) at the substation and at the line, and set up the tariffs until December 2027. This Special Intensive Consumption group applies, among others, to crypto asset mining activities. While the new ANDE tariffs have no impact on our current activities at Villarica as our contract is with the local supplier CLYFSA as detailed above, the ANDE tariff will apply to the Paso Pe facility currently under construction, and the projected Yguazu facility as detailed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December 2022, ANDE, as part of a local development plan, installed a new transformer in the city of Villarrica which was operational in the first half of 2023. The new transformer is intended to help ensure fewer energy curtailments to the Company’s facility as well as to nearby residents.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sold the older generation Miners to a third party for approximately $0.2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Yguazu, a new location close to the Itaipú dam, the third largest hydro-electric dam in the world. The new facility in Villarrica is referred to as the Paso Pe facility. At Yguazu, the Company has the opportunity to develop a new farm with up to 100 MW of Mining capacity at a site that is in close proximity to a newly constructed substation with 1,200 MW of capacity. Hydro power at both locations will be provided at a contracted cost of approximately $0.039 per kWh, before VAT, until December 31, 2027 and is not subject to annual inflationary adjustments.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5.3 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facility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M53S hydro-cooling Miners capable of producing approximately 675 PH/s once installed.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construction commenced as planned at the Paso Pe facility, beginning with the substation, followed by building-out a Mining facility consisting of 50 MW (originally 30 MW before the amended contract described below) of air-cooled warehouses and the 20 MW of hydro containers, expected to be completed during the first quarter of 2024. The construction is progressing as planned with the finalization of underground cable connections in March 2024. The transformer was delivered in March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amended the contract for an additional 20 MW of energy at the Paso Pe facility, enabling a larger expansion at the site from 50 MW to 70 MW.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revised cost of developing the expanded 50 MW of air-cooled warehouse, constructing the substation capable of accommodating the total energy requirement, and the installation of the high voltage lines, is estimated to range from $25.0 million to $28.0 million excluding the cost of the power purchase agreement guarantees required by Administración Nacional de Electricidad (“ANDE”), the operator of Paraguay national electricity grid, for securing monthly electricity purchase payment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placed deposits of $3.2 million and $2.4 million with suppliers for construction costs and for electrical components, respectively. As of December 31, 2023, property, plant and equipment includes $2.5 million related to the Paso Pe facility, including warehouse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facility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 purchased the land for the 100 MW Yguazu facility. The Company expects construction to begin in March 2024 and to complete the facility during the second half of 2024. The cost of developing the 100 MW facility and the installation of the high voltage lines is estimated to range from $34.0 million to $37.0 million, excluding the cost of the power purchase agreement guarantees required by ANDE.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complete construction of its Paso Pe and Yguazu facilities and install its new T21 Miners and WhatsMiner M53S Miners during 2024, which will increase the Paraguay online hashrate from 0.3 EH/s to 3.6 EH/s by June 30, 2024, and, provided that the Purchase Option is exercised, 6.9 EH/s by December 31, 2024.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WASHINGTON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facility in Washington State consisting of 12 MW of hydro-electric power purchase agreements, an additional 9 MW of in-process applications for expanded power-purchase agreements, transformers with 17 MW of capacity, land, buildings, electrical distribution equipment and a below market lease for a 5 MW facility expiring on November 8, 2022. In October 2022, the Company renewed the lease for a period of 23 months with similar terms.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consideration of the purchase of the Washington State facility, the Company transferred approximately $23.0 million in cash and 414,508 common shares with a value of $3.7 million on the closing date of November 9, 2021. The net identifiable assets acquired include: electrical distribution equipment valued at $6.0 million, buildings valued at $0.7 million, land valued at $0.1 million and a favourable lease valued at $2.0 million. The acquisition resulted in the Company recording goodwill of $17.9 million, which was determined as of June 30, 2022 to be fully impaired as a result of the decrease in the price of BTC.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28, 2022, the Company announced the addition of 3 MW of low-cost hydropower that went online at the Washington State facility. The added 3 MW facility brought the total production from the Washington State farm to 20 MW. The Company is currently operating the majority of its Antminer S19j Pro Miners generating approximately 600 PH/s in this facility. The Company’s power supplier has provided preliminary indication that the first 6 MW of in-process applications are expected to be installed in March 2024, while another 3 MW of in-process applications are estimated to be energized in the next four (4) years due to transmission being at capacity in relation to the nearby substation.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for a 6 MW that is estimated to be energized in the first quarter of 2024. The Company began constructing an additional production facility on Company-owned land in June 2023 with an estimated cost of $2.1 million, including $0.9 million paid in Q2 2023 to the power supplier for establishing the connection. In connection with the new facility, in January 2024, the Company elected to cancel the lease of a 5 MW facility in Washington State in order to transfer Miners from the leased facility to the newly constructed 6 MW facility with completion expected in March 2024. The cancellation of the lease will take effect in April 2024. In February 2024, the power supplier established the electricity connection allowing the Company, subject to the completion of the civil work, to access 6 MW of hydro power capacity.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the Company de-energized its 2 MW immersion cooling pilot project as the equipment did not perform to the Company’s expectations of performance and operating costs. The 2 MW of hydro-electricity remains available to the Company for future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the Company upgraded ventilation and cooling systems, increasing average uptime.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expects to upgrade a portion of its current fleet of miners in Washington during Q1 2024 with new T21 Miners, which will increase the online hashrate from 0.6 EH/s to 0.7 EH/s by March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employed 14 team members in the United States of America.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FUTURE GROWTH PLANS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 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background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agreements to acquire shares of a Company that owns the right to consume 22 MW of hydro power capacity in Baie-Comeau, Quebec, and to lease a site to install the infrastructure to operate the acquired capacity. When fully utilized, the 22 MW is expected to add over 600 PH/s. The Baie-Comeau area is home to five hydro-electricity generation facilities with over 5.4 Gigawatts of nameplate capacity.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completed the acquisition. The consideration transferred at closing totaled $2.0 million (CAD$2.6 million), of which $0.6 million (CAD$0.8 million) was paid in cash and $1.4 million (CAD$1.8 million) was paid through the issuance of 820,837 common shares of the Company. The lease agreement is for an industrial site in Baie-Comeau for an initial term of 10 years and provides the Company with the option to purchase the site for $2.2 million (CAD $3.0 million) with an annual adjustment at the lesser of (i) the change in the Consumer Price Index and (ii) 3% throughout the lease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2023 and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closing of the acquisition, the Company immediately commenced production at Baie-Comeau with an initial 3 MW online. In connection with the acquisition, the Company increased its total hashrate target to 6.3 EH/s, which was achieved on October 20, 2023.</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minimize development-related and build-out expenditures by relocating miners from other facilities to Baie-Comeau and by applying infrastructure equipment repurposed from the December 2022 sale of the former De La Pointe facility. In June and August 2023, approximately 2,500 WhatsMiner M31S+ miners were redeployed from Magog and installed at the Baie-Comeau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fully energized the 11 MW facility on October 20, 2023, and is planning to commission the remaining 11 MW during the second half of 2024 after local grid infrastructure improvements have been completed. The cost of electrical infrastructure and leasehold improvements for the first 11 MW of the facility totaled $2.8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continue to lease the property and complete the physical improvements for the second 11 MW by the third quarter of 2024. The Company expects the total cost to be approximately $9.2 million, including $3.9 million for the leasehold improvements, which will include construction of a new building and $2.5 million for the electrical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$5.0 million of property, plant and equipment at the Baie-Comeau facility, including infrastructure equipment that was repurposed from other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expects to install new Miners in Canada during 2024 with new T21 Miners and WhatsMiner M53S Miners, which will increase the online hashrate from 4.0 EH/s to 6.1 EH/s by June 30, 2024 and, provided that the Purchase Option is exercised, 7.0 EH/s by December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employed 91 team members in Canada.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has neither declared nor paid any dividends on its common shares since incorporation. When permitted to do so, the Board may declare dividends at its discretion but does not anticipate paying dividends in the near future. The Board will determine if, and when, to declare and pay dividends in the future from funds properly applicable to the payment of dividends based on Bitfarms’ financial position at the relevant time. The Board expects to retain earnings to finance future growth of Bitfarms and its subsidiaries. All of the Bitfarms shares are entitled to an equal share in any dividends declared and paid on a per share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DESCRIPTION OF CAPITAL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authorized share capital consists of an unlimited number of Bitfarms shares. As of March 6, 2024, there are 339,274,441 issued and outstanding Bitfarms shares. Each Bitfarms share entitles the holder to one vote per Bitfarms share and to receive equally any dividends declared by Bitfarms and the remaining property and assets of Bitfarms in the event Bitfarms undergoes a liquidation, dissolution, or winding up.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2020, shareholders approved an amendment to the articles of incorporation of the Company to authorize the issuance of class A preferred shares. As of March 6, 2024, there were nil preferred shares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MARKET FOR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TRADING PRICE AND VOLUME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Bitfarms Shares are traded on the TSX and Nasdaq under the symbol “BITF”. The following table sets out the price range and aggregate volumes traded or quoted monthly on the TSX and the Nasdaq Exchange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114300</wp:posOffset>
            </wp:positionV>
            <wp:extent cx="51346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3461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TSX</w:t>
            </w:r>
          </w:p>
        </w:tc>
        <w:tc>
          <w:tcPr>
            <w:tcW w:w="1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1220" w:type="dxa"/>
            <w:vAlign w:val="bottom"/>
            <w:tcBorders>
              <w:bottom w:val="single" w:sz="8" w:color="auto"/>
            </w:tcBorders>
          </w:tcPr>
          <w:p>
            <w:pPr>
              <w:spacing w:after="0"/>
              <w:rPr>
                <w:sz w:val="20"/>
                <w:szCs w:val="20"/>
                <w:color w:val="auto"/>
              </w:rPr>
            </w:pPr>
          </w:p>
        </w:tc>
      </w:tr>
      <w:tr>
        <w:trPr>
          <w:trHeight w:val="23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0.57</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35,388,200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0.42</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121,378,900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30,441,600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0.86</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92,200,800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0.94</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34,534,600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77,453,200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April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29,015,800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0.82</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105,090,700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1.67</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25,410,300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0.96</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87,520,300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June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37,822,600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159,595,300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2.84</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51,038,700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297,347,800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33,094,600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183,225,800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1.87</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21,720,300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117,176,200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28,614,700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0.92</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151,281,100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50,363,700</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302,926,800</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4.68</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147,494,900</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878,618,400</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MARKET FOR SECURITIES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ESCROWED SECURITIES AND SECURITIES SUBJECT TO CONTRACTUAL RESTRICTION ON TRANSFER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detailed hereof, as of March 6, 2024, there are no securities of the Company which are currently held in escrow or subject to a contractual restriction on transfer. The investors in the private placements with H.C. Wainwright &amp; Co. agreed to not sell, pledge or otherwise transfer the shares, the warrants or any shares issuable upon exercise of the warrants other than (a) to the Company or (b) outside of the U.S. in an offshore transaction. See Section 6 of the Qualified Institutional Buyer Letter delivered by each of the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PRIOR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716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9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21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Stock options</w:t>
            </w: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Upon the voluntary surrender by option holders, the Company cancelled outstanding options</w:t>
            </w:r>
          </w:p>
        </w:tc>
      </w:tr>
      <w:tr>
        <w:trPr>
          <w:trHeight w:val="248"/>
        </w:trPr>
        <w:tc>
          <w:tcPr>
            <w:tcW w:w="19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exercisable for 10,535,000 common shares.</w:t>
            </w:r>
          </w:p>
        </w:tc>
      </w:tr>
      <w:tr>
        <w:trPr>
          <w:trHeight w:val="22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Stock options</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Board approved a stock option grant of 8,471,250 options to officers, directors, employees</w:t>
            </w:r>
          </w:p>
        </w:tc>
      </w:tr>
      <w:tr>
        <w:trPr>
          <w:trHeight w:val="216"/>
        </w:trPr>
        <w:tc>
          <w:tcPr>
            <w:tcW w:w="1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consultants of the Company to purchase 8,471,250 Common Shares at an exercise price of</w:t>
            </w:r>
          </w:p>
        </w:tc>
      </w:tr>
      <w:tr>
        <w:trPr>
          <w:trHeight w:val="216"/>
        </w:trPr>
        <w:tc>
          <w:tcPr>
            <w:tcW w:w="1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CAD$1.89 with a term of five years from the date of the grant. Options vest one quarter on the</w:t>
            </w:r>
          </w:p>
        </w:tc>
      </w:tr>
      <w:tr>
        <w:trPr>
          <w:trHeight w:val="234"/>
        </w:trPr>
        <w:tc>
          <w:tcPr>
            <w:tcW w:w="1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grant and one quarter on each six month anniversary of the date of grant.</w:t>
            </w:r>
          </w:p>
        </w:tc>
      </w:tr>
      <w:tr>
        <w:trPr>
          <w:trHeight w:val="27"/>
        </w:trPr>
        <w:tc>
          <w:tcPr>
            <w:tcW w:w="1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28, 2023</w:t>
            </w:r>
          </w:p>
        </w:tc>
        <w:tc>
          <w:tcPr>
            <w:tcW w:w="21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6"/>
              </w:rPr>
              <w:t>Warrants</w:t>
            </w: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The Company issued 22,222,223 warrants to purchase common shares at a price of CAD$1.35 for</w:t>
            </w:r>
          </w:p>
        </w:tc>
      </w:tr>
      <w:tr>
        <w:trPr>
          <w:trHeight w:val="241"/>
        </w:trPr>
        <w:tc>
          <w:tcPr>
            <w:tcW w:w="19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7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each share and associated one-half warrant and with an exercise period of three years.</w:t>
            </w:r>
          </w:p>
        </w:tc>
      </w:tr>
      <w:tr>
        <w:trPr>
          <w:trHeight w:val="22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Stock options</w:t>
            </w: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Board approved a stock option grant of 4,685,000 options to officers, directors, employees</w:t>
            </w:r>
          </w:p>
        </w:tc>
      </w:tr>
      <w:tr>
        <w:trPr>
          <w:trHeight w:val="216"/>
        </w:trPr>
        <w:tc>
          <w:tcPr>
            <w:tcW w:w="1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consultants of the Company to purchase 4,685,000 Common Shares at an exercise price of</w:t>
            </w:r>
          </w:p>
        </w:tc>
      </w:tr>
      <w:tr>
        <w:trPr>
          <w:trHeight w:val="216"/>
        </w:trPr>
        <w:tc>
          <w:tcPr>
            <w:tcW w:w="19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CAD$3.83 with a term of five years from the date of the grant. Options vest one quarter on the</w:t>
            </w:r>
          </w:p>
        </w:tc>
      </w:tr>
      <w:tr>
        <w:trPr>
          <w:trHeight w:val="241"/>
        </w:trPr>
        <w:tc>
          <w:tcPr>
            <w:tcW w:w="1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grant and one quarter on each six month anniversary of the date of grant.</w:t>
            </w:r>
          </w:p>
        </w:tc>
      </w:tr>
      <w:tr>
        <w:trPr>
          <w:trHeight w:val="23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214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Restricted share units</w:t>
            </w: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Board approved a grant of 475,000 restricted share units to officers and directors of the</w:t>
            </w:r>
          </w:p>
        </w:tc>
      </w:tr>
      <w:tr>
        <w:trPr>
          <w:trHeight w:val="216"/>
        </w:trPr>
        <w:tc>
          <w:tcPr>
            <w:tcW w:w="1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Company to receive 475,000 Common Shares vesting equally over three years on the anniversary</w:t>
            </w:r>
          </w:p>
        </w:tc>
      </w:tr>
      <w:tr>
        <w:trPr>
          <w:trHeight w:val="216"/>
        </w:trPr>
        <w:tc>
          <w:tcPr>
            <w:tcW w:w="19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grant date. Restricted share units vest one quarter on the date of grant and one quarter on</w:t>
            </w:r>
          </w:p>
        </w:tc>
      </w:tr>
      <w:tr>
        <w:trPr>
          <w:trHeight w:val="241"/>
        </w:trPr>
        <w:tc>
          <w:tcPr>
            <w:tcW w:w="19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7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each six month anniversary of the date of grant.</w:t>
            </w:r>
          </w:p>
        </w:tc>
      </w:tr>
      <w:tr>
        <w:trPr>
          <w:trHeight w:val="64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76 | Page</w:t>
            </w:r>
          </w:p>
        </w:tc>
        <w:tc>
          <w:tcPr>
            <w:tcW w:w="21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DIRECTORS AND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NAME, OCCUPATION AND SECURITY HOLDING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out the name of each director and officer, province or state of residence, position held with each corporation, current principal occupation, and the number and percentage of securities beneficially owned, directly or indirectly as at March 6,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57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Province and</w:t>
            </w:r>
          </w:p>
        </w:tc>
        <w:tc>
          <w:tcPr>
            <w:tcW w:w="5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57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16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Director 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31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5740" w:type="dxa"/>
            <w:vAlign w:val="bottom"/>
            <w:vMerge w:val="continue"/>
          </w:tcPr>
          <w:p>
            <w:pPr>
              <w:spacing w:after="0"/>
              <w:rPr>
                <w:sz w:val="24"/>
                <w:szCs w:val="24"/>
                <w:color w:val="auto"/>
              </w:rPr>
            </w:pPr>
          </w:p>
        </w:tc>
        <w:tc>
          <w:tcPr>
            <w:tcW w:w="16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400" w:type="dxa"/>
            <w:vAlign w:val="bottom"/>
          </w:tcPr>
          <w:p>
            <w:pPr>
              <w:jc w:val="center"/>
              <w:spacing w:after="0" w:line="312" w:lineRule="exact"/>
              <w:rPr>
                <w:sz w:val="20"/>
                <w:szCs w:val="20"/>
                <w:color w:val="auto"/>
              </w:rPr>
            </w:pPr>
            <w:r>
              <w:rPr>
                <w:rFonts w:ascii="Times New Roman" w:cs="Times New Roman" w:eastAsia="Times New Roman" w:hAnsi="Times New Roman"/>
                <w:sz w:val="18"/>
                <w:szCs w:val="18"/>
                <w:b w:val="1"/>
                <w:bCs w:val="1"/>
                <w:color w:val="auto"/>
                <w:w w:val="94"/>
              </w:rPr>
              <w:t>Controlled</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6940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ectPr>
          <w:pgSz w:w="11900" w:h="16838" w:orient="portrait"/>
          <w:cols w:equalWidth="0" w:num="1">
            <w:col w:w="11240"/>
          </w:cols>
          <w:pgMar w:left="320" w:top="927" w:right="339" w:bottom="0" w:gutter="0" w:footer="0" w:header="0"/>
        </w:sectPr>
      </w:pPr>
    </w:p>
    <w:p>
      <w:pPr>
        <w:ind w:right="1020"/>
        <w:spacing w:after="0" w:line="288" w:lineRule="auto"/>
        <w:rPr>
          <w:sz w:val="20"/>
          <w:szCs w:val="20"/>
          <w:color w:val="auto"/>
        </w:rPr>
      </w:pPr>
      <w:r>
        <w:rPr>
          <w:rFonts w:ascii="Times New Roman" w:cs="Times New Roman" w:eastAsia="Times New Roman" w:hAnsi="Times New Roman"/>
          <w:sz w:val="17"/>
          <w:szCs w:val="17"/>
          <w:color w:val="auto"/>
        </w:rPr>
        <w:t xml:space="preserve">Emiliano Joel Grodzki </w:t>
      </w:r>
      <w:r>
        <w:rPr>
          <w:rFonts w:ascii="Times New Roman" w:cs="Times New Roman" w:eastAsia="Times New Roman" w:hAnsi="Times New Roman"/>
          <w:sz w:val="17"/>
          <w:szCs w:val="17"/>
          <w:i w:val="1"/>
          <w:iCs w:val="1"/>
          <w:color w:val="auto"/>
        </w:rPr>
        <w:t>Buenos Aires, Argentina</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9"/>
          <w:szCs w:val="29"/>
          <w:color w:val="auto"/>
          <w:vertAlign w:val="superscript"/>
        </w:rPr>
        <w:t>(3)</w:t>
      </w:r>
    </w:p>
    <w:p>
      <w:pPr>
        <w:spacing w:after="0"/>
        <w:rPr>
          <w:sz w:val="20"/>
          <w:szCs w:val="20"/>
          <w:color w:val="auto"/>
        </w:rPr>
      </w:pPr>
      <w:r>
        <w:rPr>
          <w:rFonts w:ascii="Times New Roman" w:cs="Times New Roman" w:eastAsia="Times New Roman" w:hAnsi="Times New Roman"/>
          <w:sz w:val="18"/>
          <w:szCs w:val="18"/>
          <w:i w:val="1"/>
          <w:iCs w:val="1"/>
          <w:color w:val="auto"/>
        </w:rPr>
        <w:t>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20"/>
        <w:spacing w:after="0" w:line="225" w:lineRule="auto"/>
        <w:rPr>
          <w:sz w:val="20"/>
          <w:szCs w:val="20"/>
          <w:color w:val="auto"/>
        </w:rPr>
      </w:pPr>
      <w:r>
        <w:rPr>
          <w:rFonts w:ascii="Times New Roman" w:cs="Times New Roman" w:eastAsia="Times New Roman" w:hAnsi="Times New Roman"/>
          <w:sz w:val="17"/>
          <w:szCs w:val="17"/>
          <w:color w:val="auto"/>
        </w:rPr>
        <w:t>Andres Finkielsztain</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Buenos Aires, Argentina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Edith Margareth Hofmeister</w:t>
      </w:r>
      <w:r>
        <w:rPr>
          <w:rFonts w:ascii="Times New Roman" w:cs="Times New Roman" w:eastAsia="Times New Roman" w:hAnsi="Times New Roman"/>
          <w:sz w:val="28"/>
          <w:szCs w:val="28"/>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California,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Geoffrey Morphy</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i w:val="1"/>
          <w:iCs w:val="1"/>
          <w:color w:val="auto"/>
        </w:rPr>
        <w:t>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USA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Benoit Gobeil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Founder and Director of the Company (2017 – present); CEO</w:t>
            </w:r>
          </w:p>
        </w:tc>
        <w:tc>
          <w:tcPr>
            <w:tcW w:w="2900" w:type="dxa"/>
            <w:vAlign w:val="bottom"/>
          </w:tcPr>
          <w:p>
            <w:pPr>
              <w:jc w:val="center"/>
              <w:ind w:right="1130"/>
              <w:spacing w:after="0" w:line="196" w:lineRule="exact"/>
              <w:rPr>
                <w:sz w:val="20"/>
                <w:szCs w:val="20"/>
                <w:color w:val="auto"/>
              </w:rPr>
            </w:pPr>
            <w:r>
              <w:rPr>
                <w:rFonts w:ascii="Times New Roman" w:cs="Times New Roman" w:eastAsia="Times New Roman" w:hAnsi="Times New Roman"/>
                <w:sz w:val="18"/>
                <w:szCs w:val="18"/>
                <w:color w:val="auto"/>
                <w:w w:val="98"/>
              </w:rPr>
              <w:t>October 11, 2018</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Company (2020 - 2022), Consultant in the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cryptocurrency sector; Founder and Director of cripto247 (2018</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present); Founder and Commercial Director of My Urban</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Foods (2012 –2015).</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6,698,443</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Non-Executive Chairman of the Board and Founder of the</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October 11, 2018</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(2022 – present); Executive Chairman of the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(2018 – 2022) and Founder and CEO of Own Hotels</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(2006 – present).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8,625,452</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Lead Director of the Company (2020 – present); President and</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April 17, 2020</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CEO of Hemlo Explorers Inc. (2020 – present); President and</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CEO of Voyageur Mineral Explorers Corp. (2020 – 2021);</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Nighthawk Gold Corp. (2016 – 2024); President</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CEO of Dundee Sustainable Technologies Inc. (2016 –</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2020); President and CEO of Stone Gold Inc. (2014 – 2021).</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of the Company (2020 – present);</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August 31, 2020</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Mene Inc. (2022-present); Founding managing</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 of FinkWald LLC (2017 – present); Co-head Special</w:t>
            </w:r>
          </w:p>
        </w:tc>
        <w:tc>
          <w:tcPr>
            <w:tcW w:w="290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Situation, Banco Industrial (2017-2023);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strike w:val="1"/>
                <w:w w:val="76"/>
              </w:rPr>
              <w:t>D</w:t>
            </w: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irector of</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Goldmoney Inc. (TSX: XAU) (2018 – present) and Managing</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 of FINK LLC (2011-present).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of the Company (2022 – present);</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Osisko Gold Royalties (2022 – present); Director of</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Nighthawk Gold Corp (2022 – Feb 2024); Director of Prime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Mining Corp (2021 – present); Director of STLLR (2024 -</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present), Director of Minto Metals Corp (2021 - 2023), and</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Vice-President &amp; General Counsel of Tahoe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Resources (2010 – 2019).</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of the Company (May 2023 - present); CEO of the</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May 19, 2020</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(Dec 2022 – Present), President of the Company</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 2020 – present); Chief Operating Officer of the Company</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 2021 - Dec 2022), Director of the Company (May 2020 -</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 2020); Trustee/Director of R&amp;R Real Estate Investment</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(TSXV: RRR) (2021 – present); Co-CEO of Dundee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Sarea Fund (2016 – 2019) and Vice-President Corporate</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of Dundee Corporation (TSX: DC-A)(2016–</w:t>
            </w:r>
          </w:p>
        </w:tc>
        <w:tc>
          <w:tcPr>
            <w:tcW w:w="290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220,757</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of the Company (June 2021 – present),</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June 3, 2021</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Director of Mackinac Partners (2020 - 2021);</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CFI Associates (Feb 2020 – July 2020); President and</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of eMagin Corporation (NYSE) (2015 –</w:t>
            </w:r>
          </w:p>
        </w:tc>
        <w:tc>
          <w:tcPr>
            <w:tcW w:w="290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83,334</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 Infrastructure and Operations of the</w:t>
            </w:r>
          </w:p>
        </w:tc>
        <w:tc>
          <w:tcPr>
            <w:tcW w:w="290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July 14, 2021</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(2023 – present), Vice President - Infrastructure and</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 of the Company (2021-2023); Director of</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 of the Company (2019 – 2021), General Manager of</w:t>
            </w:r>
          </w:p>
        </w:tc>
        <w:tc>
          <w:tcPr>
            <w:tcW w:w="2900" w:type="dxa"/>
            <w:vAlign w:val="bottom"/>
          </w:tcPr>
          <w:p>
            <w:pPr>
              <w:spacing w:after="0"/>
              <w:rPr>
                <w:sz w:val="18"/>
                <w:szCs w:val="18"/>
                <w:color w:val="auto"/>
              </w:rPr>
            </w:pP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Volta électrique (2018 – 2019) and Owner of Volta électrique</w:t>
            </w:r>
          </w:p>
        </w:tc>
        <w:tc>
          <w:tcPr>
            <w:tcW w:w="2900" w:type="dxa"/>
            <w:vAlign w:val="bottom"/>
          </w:tcPr>
          <w:p>
            <w:pPr>
              <w:spacing w:after="0"/>
              <w:rPr>
                <w:sz w:val="18"/>
                <w:szCs w:val="18"/>
                <w:color w:val="auto"/>
              </w:rPr>
            </w:pPr>
          </w:p>
        </w:tc>
      </w:tr>
      <w:tr>
        <w:trPr>
          <w:trHeight w:val="232"/>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(2010 – 2017).</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-5347335</wp:posOffset>
            </wp:positionV>
            <wp:extent cx="7132320" cy="8229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-3701415</wp:posOffset>
            </wp:positionV>
            <wp:extent cx="7132320" cy="9601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6012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-1506855</wp:posOffset>
            </wp:positionV>
            <wp:extent cx="7132320" cy="685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80" w:space="720"/>
            <w:col w:w="7740"/>
          </w:cols>
          <w:pgMar w:left="320" w:top="927" w:right="3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Damian Polla</w:t>
            </w:r>
          </w:p>
        </w:tc>
        <w:tc>
          <w:tcPr>
            <w:tcW w:w="558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General Manager LATAM of the Company (2021 – present);</w:t>
            </w:r>
          </w:p>
        </w:tc>
        <w:tc>
          <w:tcPr>
            <w:tcW w:w="3020" w:type="dxa"/>
            <w:vAlign w:val="bottom"/>
            <w:shd w:val="clear" w:color="auto" w:fill="CCEEFF"/>
          </w:tcPr>
          <w:p>
            <w:pPr>
              <w:jc w:val="right"/>
              <w:ind w:right="1550"/>
              <w:spacing w:after="0" w:line="198" w:lineRule="exact"/>
              <w:rPr>
                <w:sz w:val="20"/>
                <w:szCs w:val="20"/>
                <w:color w:val="auto"/>
              </w:rPr>
            </w:pPr>
            <w:r>
              <w:rPr>
                <w:rFonts w:ascii="Times New Roman" w:cs="Times New Roman" w:eastAsia="Times New Roman" w:hAnsi="Times New Roman"/>
                <w:sz w:val="18"/>
                <w:szCs w:val="18"/>
                <w:color w:val="auto"/>
              </w:rPr>
              <w:t>April 14, 2021</w:t>
            </w:r>
          </w:p>
        </w:tc>
      </w:tr>
      <w:tr>
        <w:trPr>
          <w:trHeight w:val="21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Buenos Aires, Argentina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Corporate Finance Director of Molino Cañuelas SACIFIA</w:t>
            </w:r>
          </w:p>
        </w:tc>
        <w:tc>
          <w:tcPr>
            <w:tcW w:w="3020" w:type="dxa"/>
            <w:vAlign w:val="bottom"/>
            <w:shd w:val="clear" w:color="auto" w:fill="CCEEFF"/>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(2018 – 2021) and Head of Structured Finance – Latam of</w:t>
            </w:r>
          </w:p>
        </w:tc>
        <w:tc>
          <w:tcPr>
            <w:tcW w:w="3020" w:type="dxa"/>
            <w:vAlign w:val="bottom"/>
            <w:shd w:val="clear" w:color="auto" w:fill="CCEEFF"/>
          </w:tcPr>
          <w:p>
            <w:pPr>
              <w:spacing w:after="0"/>
              <w:rPr>
                <w:sz w:val="18"/>
                <w:szCs w:val="18"/>
                <w:color w:val="auto"/>
              </w:rPr>
            </w:pPr>
          </w:p>
        </w:tc>
      </w:tr>
      <w:tr>
        <w:trPr>
          <w:trHeight w:val="234"/>
        </w:trPr>
        <w:tc>
          <w:tcPr>
            <w:tcW w:w="2640" w:type="dxa"/>
            <w:vAlign w:val="bottom"/>
            <w:shd w:val="clear" w:color="auto" w:fill="CCEEFF"/>
          </w:tcPr>
          <w:p>
            <w:pPr>
              <w:spacing w:after="0"/>
              <w:rPr>
                <w:sz w:val="20"/>
                <w:szCs w:val="20"/>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Haitong Bank NY Branch (2016 – 2018).</w:t>
            </w:r>
          </w:p>
        </w:tc>
        <w:tc>
          <w:tcPr>
            <w:tcW w:w="3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49,668</w:t>
            </w:r>
          </w:p>
        </w:tc>
      </w:tr>
      <w:tr>
        <w:trPr>
          <w:trHeight w:val="648"/>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 | Page</w:t>
            </w:r>
          </w:p>
        </w:tc>
        <w:tc>
          <w:tcPr>
            <w:tcW w:w="5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DIRECTORS AND OFFICERS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9.1 NAME, OCCUPATION AND SECURITY HOLDING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55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Province and</w:t>
            </w:r>
          </w:p>
        </w:tc>
        <w:tc>
          <w:tcPr>
            <w:tcW w:w="5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Country of</w:t>
            </w:r>
          </w:p>
        </w:tc>
        <w:tc>
          <w:tcPr>
            <w:tcW w:w="5580" w:type="dxa"/>
            <w:vAlign w:val="bottom"/>
            <w:vMerge w:val="restart"/>
          </w:tcPr>
          <w:p>
            <w:pPr>
              <w:ind w:left="1200"/>
              <w:spacing w:after="0"/>
              <w:rPr>
                <w:sz w:val="20"/>
                <w:szCs w:val="20"/>
                <w:color w:val="auto"/>
              </w:rPr>
            </w:pPr>
            <w:r>
              <w:rPr>
                <w:rFonts w:ascii="Times New Roman" w:cs="Times New Roman" w:eastAsia="Times New Roman" w:hAnsi="Times New Roman"/>
                <w:sz w:val="18"/>
                <w:szCs w:val="18"/>
                <w:b w:val="1"/>
                <w:bCs w:val="1"/>
                <w:color w:val="auto"/>
              </w:rPr>
              <w:t>Principal Occupation During the Last Five Years</w:t>
            </w:r>
            <w:r>
              <w:rPr>
                <w:rFonts w:ascii="Times New Roman" w:cs="Times New Roman" w:eastAsia="Times New Roman" w:hAnsi="Times New Roman"/>
                <w:sz w:val="29"/>
                <w:szCs w:val="29"/>
                <w:b w:val="1"/>
                <w:bCs w:val="1"/>
                <w:color w:val="auto"/>
                <w:vertAlign w:val="superscript"/>
              </w:rPr>
              <w:t>(1)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 or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w:t>
            </w:r>
          </w:p>
        </w:tc>
        <w:tc>
          <w:tcPr>
            <w:tcW w:w="0" w:type="dxa"/>
            <w:vAlign w:val="bottom"/>
          </w:tcPr>
          <w:p>
            <w:pPr>
              <w:spacing w:after="0"/>
              <w:rPr>
                <w:sz w:val="1"/>
                <w:szCs w:val="1"/>
                <w:color w:val="auto"/>
              </w:rPr>
            </w:pPr>
          </w:p>
        </w:tc>
      </w:tr>
      <w:tr>
        <w:trPr>
          <w:trHeight w:val="297"/>
        </w:trPr>
        <w:tc>
          <w:tcPr>
            <w:tcW w:w="2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Residence</w:t>
            </w:r>
          </w:p>
        </w:tc>
        <w:tc>
          <w:tcPr>
            <w:tcW w:w="558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1300" w:type="dxa"/>
            <w:vAlign w:val="bottom"/>
            <w:tcBorders>
              <w:bottom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b w:val="1"/>
                <w:bCs w:val="1"/>
                <w:color w:val="auto"/>
                <w:w w:val="94"/>
              </w:rPr>
              <w:t>Controlled</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Patricia Osorio</w:t>
            </w:r>
          </w:p>
        </w:tc>
        <w:tc>
          <w:tcPr>
            <w:tcW w:w="5580" w:type="dxa"/>
            <w:vAlign w:val="bottom"/>
            <w:shd w:val="clear" w:color="auto" w:fill="CCEEFF"/>
          </w:tcPr>
          <w:p>
            <w:pPr>
              <w:ind w:left="860"/>
              <w:spacing w:after="0" w:line="189" w:lineRule="exact"/>
              <w:rPr>
                <w:sz w:val="20"/>
                <w:szCs w:val="20"/>
                <w:color w:val="auto"/>
              </w:rPr>
            </w:pPr>
            <w:r>
              <w:rPr>
                <w:rFonts w:ascii="Times New Roman" w:cs="Times New Roman" w:eastAsia="Times New Roman" w:hAnsi="Times New Roman"/>
                <w:sz w:val="18"/>
                <w:szCs w:val="18"/>
                <w:color w:val="auto"/>
              </w:rPr>
              <w:t>Vice President and Corporate Secretary of the Company (2022</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November 19, 2021</w:t>
            </w: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present), Vice President of Corporate Affairs of the Company</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(2021 – 2022); Corporate Secretary of Dundee Sustainable</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Technologies Inc. (2020 – 2021); Assistant Secretary-Treasurer</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of Dundee Sustainable Technologies Inc. (2011 – 2020).</w:t>
            </w:r>
          </w:p>
        </w:tc>
        <w:tc>
          <w:tcPr>
            <w:tcW w:w="1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6"/>
        </w:trPr>
        <w:tc>
          <w:tcPr>
            <w:tcW w:w="2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Andrea Keen Souza</w:t>
            </w:r>
          </w:p>
        </w:tc>
        <w:tc>
          <w:tcPr>
            <w:tcW w:w="5580" w:type="dxa"/>
            <w:vAlign w:val="bottom"/>
          </w:tcPr>
          <w:p>
            <w:pPr>
              <w:ind w:left="860"/>
              <w:spacing w:after="0" w:line="195" w:lineRule="exact"/>
              <w:rPr>
                <w:sz w:val="20"/>
                <w:szCs w:val="20"/>
                <w:color w:val="auto"/>
              </w:rPr>
            </w:pPr>
            <w:r>
              <w:rPr>
                <w:rFonts w:ascii="Times New Roman" w:cs="Times New Roman" w:eastAsia="Times New Roman" w:hAnsi="Times New Roman"/>
                <w:sz w:val="18"/>
                <w:szCs w:val="18"/>
                <w:color w:val="auto"/>
              </w:rPr>
              <w:t>Vice-President, Human Resources of the Company (2022 –</w:t>
            </w:r>
          </w:p>
        </w:tc>
        <w:tc>
          <w:tcPr>
            <w:tcW w:w="1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January 10, 2022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present); Head of Talent &amp; Culture of EQ Care / Telus Health</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(2020 – 2021); Global HR Director of Straumann Group (2019</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2020); Head of Human Resources of Sterlite Power Brazil</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(2017 – 2019) and Region Human Resources Leader, LATAM</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Fieldcore/GE (2007-2017).</w:t>
            </w:r>
          </w:p>
        </w:tc>
        <w:tc>
          <w:tcPr>
            <w:tcW w:w="17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Philippe Fortier</w:t>
            </w:r>
          </w:p>
        </w:tc>
        <w:tc>
          <w:tcPr>
            <w:tcW w:w="5580" w:type="dxa"/>
            <w:vAlign w:val="bottom"/>
            <w:shd w:val="clear" w:color="auto" w:fill="CCEEFF"/>
          </w:tcPr>
          <w:p>
            <w:pPr>
              <w:ind w:left="860"/>
              <w:spacing w:after="0" w:line="195" w:lineRule="exact"/>
              <w:rPr>
                <w:sz w:val="20"/>
                <w:szCs w:val="20"/>
                <w:color w:val="auto"/>
              </w:rPr>
            </w:pPr>
            <w:r>
              <w:rPr>
                <w:rFonts w:ascii="Times New Roman" w:cs="Times New Roman" w:eastAsia="Times New Roman" w:hAnsi="Times New Roman"/>
                <w:sz w:val="18"/>
                <w:szCs w:val="18"/>
                <w:color w:val="auto"/>
              </w:rPr>
              <w:t>Senior Vice President - Corporate Development of the</w:t>
            </w:r>
          </w:p>
        </w:tc>
        <w:tc>
          <w:tcPr>
            <w:tcW w:w="17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January 24, 2022</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Company (2023 – Present); Vice President - Corporate</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Development of the Company (2022-2023); Vice President,</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Special Projects of the Company (2022); President of GPFH</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(2019-2021); Financial Analyst of National Bank Financial</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(2017 - 2019); Investment Analyst of CFBDG (2015-2016) and</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Auditor at Deloitte (2010-2014)</w:t>
            </w:r>
          </w:p>
        </w:tc>
        <w:tc>
          <w:tcPr>
            <w:tcW w:w="1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96"/>
        </w:trPr>
        <w:tc>
          <w:tcPr>
            <w:tcW w:w="2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Stephanie Wargo</w:t>
            </w:r>
          </w:p>
        </w:tc>
        <w:tc>
          <w:tcPr>
            <w:tcW w:w="5580" w:type="dxa"/>
            <w:vAlign w:val="bottom"/>
          </w:tcPr>
          <w:p>
            <w:pPr>
              <w:ind w:left="860"/>
              <w:spacing w:after="0" w:line="195" w:lineRule="exact"/>
              <w:rPr>
                <w:sz w:val="20"/>
                <w:szCs w:val="20"/>
                <w:color w:val="auto"/>
              </w:rPr>
            </w:pPr>
            <w:r>
              <w:rPr>
                <w:rFonts w:ascii="Times New Roman" w:cs="Times New Roman" w:eastAsia="Times New Roman" w:hAnsi="Times New Roman"/>
                <w:sz w:val="18"/>
                <w:szCs w:val="18"/>
                <w:color w:val="auto"/>
              </w:rPr>
              <w:t>Vice President, Marketing &amp; Communication of the Company</w:t>
            </w:r>
          </w:p>
        </w:tc>
        <w:tc>
          <w:tcPr>
            <w:tcW w:w="1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January 15, 2022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Georgia, USA</w:t>
            </w: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(2022 – present); Global VP Marketing of PrimeRevenue (2015</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 2022); Global VP Marketing of BitPay (2013 – 2015) and VP</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Client Relations &amp; Marketing of FirstView Financial (2010 –</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2013).</w:t>
            </w:r>
          </w:p>
        </w:tc>
        <w:tc>
          <w:tcPr>
            <w:tcW w:w="17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Marc-André Ammann</w:t>
            </w:r>
          </w:p>
        </w:tc>
        <w:tc>
          <w:tcPr>
            <w:tcW w:w="5580" w:type="dxa"/>
            <w:vAlign w:val="bottom"/>
            <w:shd w:val="clear" w:color="auto" w:fill="CCEEFF"/>
          </w:tcPr>
          <w:p>
            <w:pPr>
              <w:ind w:left="860"/>
              <w:spacing w:after="0" w:line="195" w:lineRule="exact"/>
              <w:rPr>
                <w:sz w:val="20"/>
                <w:szCs w:val="20"/>
                <w:color w:val="auto"/>
              </w:rPr>
            </w:pPr>
            <w:r>
              <w:rPr>
                <w:rFonts w:ascii="Times New Roman" w:cs="Times New Roman" w:eastAsia="Times New Roman" w:hAnsi="Times New Roman"/>
                <w:sz w:val="18"/>
                <w:szCs w:val="18"/>
                <w:color w:val="auto"/>
              </w:rPr>
              <w:t>Vice President, Finance &amp; Accounting of the Company (2022 –</w:t>
            </w:r>
          </w:p>
        </w:tc>
        <w:tc>
          <w:tcPr>
            <w:tcW w:w="17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May 16, 2022</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Québec, Canada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present); Vice President, Finance &amp; Corporate Controller of</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Sharethrough (2021-2022); Director of Financial Reporting of</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Minerai de Fer Québec (2019 -2021); Senior Manager,</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Corporate Accounting &amp; Regulatory Reporting of CN (2017 –</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2019).</w:t>
            </w:r>
          </w:p>
        </w:tc>
        <w:tc>
          <w:tcPr>
            <w:tcW w:w="1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6"/>
        </w:trPr>
        <w:tc>
          <w:tcPr>
            <w:tcW w:w="26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Paul Magrath</w:t>
            </w:r>
          </w:p>
        </w:tc>
        <w:tc>
          <w:tcPr>
            <w:tcW w:w="5580" w:type="dxa"/>
            <w:vAlign w:val="bottom"/>
          </w:tcPr>
          <w:p>
            <w:pPr>
              <w:ind w:left="860"/>
              <w:spacing w:after="0" w:line="195" w:lineRule="exact"/>
              <w:rPr>
                <w:sz w:val="20"/>
                <w:szCs w:val="20"/>
                <w:color w:val="auto"/>
              </w:rPr>
            </w:pPr>
            <w:r>
              <w:rPr>
                <w:rFonts w:ascii="Times New Roman" w:cs="Times New Roman" w:eastAsia="Times New Roman" w:hAnsi="Times New Roman"/>
                <w:sz w:val="18"/>
                <w:szCs w:val="18"/>
                <w:color w:val="auto"/>
              </w:rPr>
              <w:t>Vice President, Taxation &amp; Sustainability of the Company</w:t>
            </w:r>
          </w:p>
        </w:tc>
        <w:tc>
          <w:tcPr>
            <w:tcW w:w="1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May 23, 2022</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Ontario, Canada</w:t>
            </w: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(2022 – present); Senior Finance Director of Huawei</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Technologies (2017-2022) and Director, Taxation of</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AstraZeneca R&amp;D (2009 – 2017).</w:t>
            </w:r>
          </w:p>
        </w:tc>
        <w:tc>
          <w:tcPr>
            <w:tcW w:w="17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Jeffrey (Jung Feng) Gao</w:t>
            </w:r>
          </w:p>
        </w:tc>
        <w:tc>
          <w:tcPr>
            <w:tcW w:w="5580" w:type="dxa"/>
            <w:vAlign w:val="bottom"/>
            <w:shd w:val="clear" w:color="auto" w:fill="CCEEFF"/>
          </w:tcPr>
          <w:p>
            <w:pPr>
              <w:ind w:left="860"/>
              <w:spacing w:after="0" w:line="195" w:lineRule="exact"/>
              <w:rPr>
                <w:sz w:val="20"/>
                <w:szCs w:val="20"/>
                <w:color w:val="auto"/>
              </w:rPr>
            </w:pPr>
            <w:r>
              <w:rPr>
                <w:rFonts w:ascii="Times New Roman" w:cs="Times New Roman" w:eastAsia="Times New Roman" w:hAnsi="Times New Roman"/>
                <w:sz w:val="18"/>
                <w:szCs w:val="18"/>
                <w:color w:val="auto"/>
              </w:rPr>
              <w:t>Vice President, Risk Management of the Company (2023 –</w:t>
            </w:r>
          </w:p>
        </w:tc>
        <w:tc>
          <w:tcPr>
            <w:tcW w:w="172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January 1, 2023</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Victoria, Australia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present) and Chief Executive Officer of Cypherpunk Holdings</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 (2021-2022)</w:t>
            </w:r>
          </w:p>
        </w:tc>
        <w:tc>
          <w:tcPr>
            <w:tcW w:w="1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2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Tracy Krumme</w:t>
            </w:r>
          </w:p>
        </w:tc>
        <w:tc>
          <w:tcPr>
            <w:tcW w:w="5580" w:type="dxa"/>
            <w:vAlign w:val="bottom"/>
          </w:tcPr>
          <w:p>
            <w:pPr>
              <w:ind w:left="860"/>
              <w:spacing w:after="0" w:line="198" w:lineRule="exact"/>
              <w:rPr>
                <w:sz w:val="20"/>
                <w:szCs w:val="20"/>
                <w:color w:val="auto"/>
              </w:rPr>
            </w:pPr>
            <w:r>
              <w:rPr>
                <w:rFonts w:ascii="Times New Roman" w:cs="Times New Roman" w:eastAsia="Times New Roman" w:hAnsi="Times New Roman"/>
                <w:sz w:val="18"/>
                <w:szCs w:val="18"/>
                <w:color w:val="auto"/>
              </w:rPr>
              <w:t>Senior Vice-President, Head of Investor Relations (Dec 2023 -</w:t>
            </w: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December 29, 2023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 USA</w:t>
            </w: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present); Global Head of Investor Relations of Galderma (Jan</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2022 - Nov 2022); VP, Head of Investor Relations of PPD Inc.</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(Aug 2020 - Dec 2020) and SVP, Head of Investor Relations of</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Nuance Communications (2019 - 2022)</w:t>
            </w:r>
          </w:p>
        </w:tc>
        <w:tc>
          <w:tcPr>
            <w:tcW w:w="17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98"/>
        </w:trPr>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Reeves, Guillaume</w:t>
            </w:r>
          </w:p>
        </w:tc>
        <w:tc>
          <w:tcPr>
            <w:tcW w:w="558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Vice President, Information Technology (2023-present);</w:t>
            </w:r>
          </w:p>
        </w:tc>
        <w:tc>
          <w:tcPr>
            <w:tcW w:w="1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11, 2023</w:t>
            </w: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Quebec, Canada</w:t>
            </w:r>
          </w:p>
        </w:tc>
        <w:tc>
          <w:tcPr>
            <w:tcW w:w="5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Director of Information Technology (2017-2023).</w:t>
            </w:r>
          </w:p>
        </w:tc>
        <w:tc>
          <w:tcPr>
            <w:tcW w:w="17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Notes:</w:t>
            </w:r>
          </w:p>
        </w:tc>
        <w:tc>
          <w:tcPr>
            <w:tcW w:w="5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left="34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principal occupation, business or employment, not being within the knowledge of the Company, has been furnished by respective persons set forth above. The information with respect to the Common Shares beneficially owned, controlled or directed is not within the direct knowledge of the Company and has been obtained from the System for Electronic Disclosure by Insiders (“SEDI”) or furnished by the respective individuals. This table does not include Common Shares underlying unexercised stock options and warrants.</w:t>
      </w:r>
    </w:p>
    <w:p>
      <w:pPr>
        <w:spacing w:after="0" w:line="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947"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DIRECTORS AND OFFICERS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9.1 NAME, OCCUPATION AND SECURITY HOLDING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6, 2024, the directors and executive officers of the Company, as a group, beneficially owned, directly or indirectly, or exercised control or direction over 15,742,540 common shares, representing 4.64% of the total issued and outstanding common shares before giving effect to the exercise of rights, options, or warrants to purchase or otherwise receive Common Shares held by such directors and executive officers. The statement as to the number of Common Shares beneficially owned, directly or indirectly, or over which control or direction is exercised by the directors and executive officers of the Company as a group is based upon information furnished by the directors and executive officers themselves.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BIOGRAPHY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Nicolas Bonta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Nicolas Bonta serves as the Chairman of the Board. Mr. Bonta is an Argentinian hotelier, real estate investor and a co-founder of the Company.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Brian Howlett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Brian Howlett serves as the Lead Director of the Company, is the Chair of the Audit Committee, and is a member of the Governance and Nominating Committee, the Compensation Committee, and the Environmental and Social Responsibility Committee. Mr. Howlett is a seasoned financial professional with over thirty years of senior management experience. He is currently the President, Chief Executive Officer and Director of Hemlo Explorers Inc. Mr. Howlett also serves on the Board for several junior mining companies and has formerly served as C-Executive and board members in several publicly listed companies, including Dundee Sustainable Technologies Inc. and Superior Copper Corporation, among others. Mr. Howlett graduated in 1982 with a B. Comm. in finance from Concordia University and received his CPA/CMA designation in 1989.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Emiliano J. Grodzki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Emiliano J. Grodzki serves as Director of the Company and is a member of the Compensation Committee and the Environmental and Social Responsibility Committee. Mr. Grodzki is an Argentinian entrepreneur, businessman and a co-founder of the Company. He has been a business builder and innovator since his early teens, founding, incubating, and exiting interdisciplinary ventures in the design, food, and construction industries. In 2016, he entered the space of cryptocurrencies and began to invest in and mine cryptocurrencies from Argentina. Mr. Grodzki has a construction degree from ORT in Buenos Aires, Argentina.</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DIRECTORS AND OFFICERS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9.2 BIOGRAPHY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Andres Finkielsztain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Andres Finkielsztain serves as an Independent Director of the Company, Chair of the Compensation Committee, and a member of the Audit Committee and the Governance and Nominating Committee. Mr. Finkielsztain is the Founding Managing Partner of FinkWald LLC, a private investment office specializing in private equity, real estate, media, and technology. He was also the co-head of the Special Situations division at Banco Industrial in Argentina where he analyzed and provided financing solutions to Argentinean-based companies and institutions from 2017 to 2023. Mr. Finkielsztain previously served, until February 2018, as a portfolio manager and financial advisor for Soros Brothers Investments (“</w:t>
      </w:r>
      <w:r>
        <w:rPr>
          <w:rFonts w:ascii="Times New Roman" w:cs="Times New Roman" w:eastAsia="Times New Roman" w:hAnsi="Times New Roman"/>
          <w:sz w:val="18"/>
          <w:szCs w:val="18"/>
          <w:b w:val="1"/>
          <w:bCs w:val="1"/>
          <w:color w:val="auto"/>
        </w:rPr>
        <w:t>SBI</w:t>
      </w:r>
      <w:r>
        <w:rPr>
          <w:rFonts w:ascii="Times New Roman" w:cs="Times New Roman" w:eastAsia="Times New Roman" w:hAnsi="Times New Roman"/>
          <w:sz w:val="18"/>
          <w:szCs w:val="18"/>
          <w:color w:val="auto"/>
        </w:rPr>
        <w:t>”), a private investment office founded in 2011 by Alexander and Gregory Soros, sons of George Soros. Mr. Finkielsztain worked at J.P. Morgan. During his tenure of over a decade at J.P. Morgan, Mr. Finkielsztain served in various capacities within the asset management, including the role of Global Investment Opportunity and Emerging Markets Specialist. His group facilitate access to J. P. Morgan investment bank and offered capital market solutions for a select group of the wealthiest and most sophisticated individual investors and families globally. Mr. Finkielsztain graduated with a BA in Economics from Bard College where he served as the President of a Latin American organization.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Edith M. Hofmeister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Edie Hofmeister serves as Independent Director of the Company and Chair of the Governance and Nominating Committee and the Environmental and Social Responsibility Committee and is a member of the Audit Committee. Ms. Hofmeister has advised large and small multi-national extractive companies on legal and environment,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matters for over twenty years. Most recently she has been appointed as director of STLLR. She also served as Executive Vice President Corporate Affairs and General Counsel for Tahoe Resources where she led the Legal, Sustainability and Government Affairs departments and helped grow Tahoe from a junior exploration company to a mid-cap precious metals producer, from 2010 to 2019.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multi-national corporations. Ms. Hofmeister received a Bachelor of Arts degree in international relations from UCLA, a Master of Arts degree in international peace studies from the University of Notre Dame and a Juris Doctor degree from the University of San Francisco.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Geoffrey Morphy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 Geoffrey Morphy serves as Director, President and Chief Executive Officer of the Company. Previously he served as Executive Vice President, President and Chief Operating Officer of the Company. He was Co-CEO of Dundee Sarea Fund, a Canadian-based turnaround fund from December 2017 to November 2019. He was Vice-President, Corporate Development of Dundee Corporation (TSE: DC.A) from April 2016 to October 2019. In that capacity, he was part of the senior management team responsible for strategy, new investments and portfolio management. Since August 2016, Mr. Morphy is a director of Android Industries, L.L.C, a Michigan-based Tier One auto parts manufacturing company with global operations. In February 2021, he became a Trustee of R&amp;R Real Estate Investment Trust (TSXV: RRR.UN). Mr. Morphy is a past director of Parq-Vancouver, Blue Goose Capital Corporation, and was previously Chairman of Montreal based Dundee Sustainable Technologies Inc. (CSE: DST) and Co-CEO of Dundee Sarea Fund. Mr. Morphy has decades of cross-border and international commercial and corporate strategy, structuring, operational and finance experience. He has occupied executive positions at financial advisory firms and banks, such as the Farber Financial Group between 2008 and 2016, ABN Amro Bank N.V. and LaSalle Bank between 2005 and 2008, as well as Comerica Bank, between 2000 and 2005. Mr. Morphy holds a Bachelor of Commerce from Dalhousie University, earned the designation of Certified Exit Planning Adviser from Chicago-based Exit Planning Institute in 2012, became an exempt market dealer representative in 2015, and was granted the designation of ICD.D from the Institute of Corporate Directors in 2019.</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DIRECTORS AND OFFICERS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9.2 BIOGRAPHY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Lucas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Jeffrey Lucas serves as the Chief Financial Officer of the Company. Prior to joining Bitfarms, Mr. Lucas was Managing Director of Mackinac Partners, a financial restructuring and turnaround advisory firm. Previously, he was President and CFO of eMagin Corporation (NYSE), a publicly traded developer and manufacturer of microdisplays used in military and commercial applications. Prior to eMagin, Mr. Lucas was a Board Member and the CFO of Transfreight Companies, a logistics and transportation enterprise that managed the inbound supply chain for the major auto manufacturers. He has also served as CFO for several other public and private companies in a variety of industries. Prior to his corporate roles, Mr. Lucas worked in high yield investment banking with L. F. Rothschild and in institutional money management as a securities analyst with Wells Capital Management. He is a Chartered Financial Analyst and earned the Certified Public Accountant certification while a member of PricewaterhouseCoopers’ technology and industrials practices. Mr. Lucas earned an MBA with emphasis on finance from Harvard Business School and a BA in Economics from Tufts University and studied at the London School of Economics.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 CEASE TRADE ORDERS, BANKRUPTCIES, PENALTIES OR SANCTIONS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executive officer of the Company, is or was, within 10 years before March 6, 2024, a director, chief executive officer or chief financial officer of any company that:</w:t>
      </w:r>
    </w:p>
    <w:p>
      <w:pPr>
        <w:spacing w:after="0" w:line="162"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the subject of a cease trade order or similar order or an order that denied the relevant company access to any exemption under securities legislation for a period of more than 30 consecutive days;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described below, no director or executive officer of the Company and no shareholder holding a sufficient number of securities to affect materially the control of the Company is, as at March 6, 2024, or has been within the 10 years before March 6, 2024:</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DIRECTORS AND OFFICERS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9.3 CEASE TRADE ORDERS, BANKRUPTCIES, PENALTIES OR SANCTIONS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subject to:</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penalties or sanctions imposed by a court or regulatory body that would likely be considered important to a reasonable security holder in making an investment decision.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Minto Metals Corporation was placed in receivership in July of 2023 by order of the British Columbia Supreme Court. Edith M. Hofmeister was a director on the Board of Minto Metals Corporation between November 2021 and February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 CODE OF CONDUCT AND CONFLICTS OF INTEREST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directors of Bitfarms are required by law to act honestly and in good faith with a view to the best interests of Bitfarms and to disclose any interests which they may have in any project or opportunity outside of Bitfarms. If a conflict of interest arises, any director in a conflict will disclose his interest and abstain from voting on such matter at a meeting of the Board. To the best of Bitfarms’ knowledge, and other than as disclosed in this AIF, there are no known existing or potential conflicts of interest among Bitfarms, its directors and officers or other members of management of the Company or any proposed director, officer or other member of management as a result of their outside business interests, except that certain of the directors and officers serve as directors and officers of other companies, and therefore it is possible that a conflict may arise between their duties to Bitfarms and their duties as a director or officer of such other companies.</w:t>
      </w:r>
    </w:p>
    <w:p>
      <w:pPr>
        <w:spacing w:after="0" w:line="185" w:lineRule="exact"/>
        <w:rPr>
          <w:sz w:val="20"/>
          <w:szCs w:val="20"/>
          <w:color w:val="auto"/>
        </w:rPr>
      </w:pPr>
    </w:p>
    <w:p>
      <w:pPr>
        <w:ind w:right="8960" w:firstLine="10"/>
        <w:spacing w:after="0" w:line="503" w:lineRule="auto"/>
        <w:tabs>
          <w:tab w:leader="none" w:pos="27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 Legal Proceedings</w:t>
      </w: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pending legal material proceedings to which the Company is or was party to, or that any of its property is or was the subject of, and Bitfarms is not aware of any such proceedings known to be contemplated.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penalties or sanctions were imposed against the Company by a court relating to provincial and territorial securities legislation or by a securities regulatory authority since incorporation. No other penalties or sanctions have been imposed by a court or regulatory body against the Company necessary for this AIF to contain full, true and plain disclosure of all material facts. The Company has not entered into any settlement agreements before a court relating to provincial and territorial securities legislation or with a securities regulatory authority since incorporation.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OF MANAGEMENT AND OTHERS IN MATERIAL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disclosed herein and elsewhere in this AIF, no directors, officers, principal shareholders of the Company, nor any Associate or Affiliate of the foregoing, have had any material interest, direct or indirect, in any transactions in which the Company has participated prior to March 6, 2024 that have materially affected or are reasonably expected to materially affect the Company or any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transactions with related parties other than as disclosed below.</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consulting agreements with two of the Directors, Emiliano Joel Grodzki and Nicolas Bonta. As of December 31, 2022, Messrs. Grodzki and Bonta have resigned from their executive positions in the Company, the consulting agreements were terminated, and they only retain their positions of non-executive Directors, resulting in a total termination package of $1.5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3175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7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 charged by the directors</w:t>
            </w:r>
          </w:p>
        </w:tc>
        <w:tc>
          <w:tcPr>
            <w:tcW w:w="26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million</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million</w:t>
            </w:r>
          </w:p>
        </w:tc>
      </w:tr>
      <w:tr>
        <w:trPr>
          <w:trHeight w:val="243"/>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package</w:t>
            </w:r>
          </w:p>
        </w:tc>
        <w:tc>
          <w:tcPr>
            <w:tcW w:w="2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 million</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120" w:type="dxa"/>
            <w:vAlign w:val="bottom"/>
            <w:tcBorders>
              <w:bottom w:val="single" w:sz="8" w:color="auto"/>
            </w:tcBorders>
            <w:shd w:val="clear" w:color="auto" w:fill="CCEEFF"/>
          </w:tcPr>
          <w:p>
            <w:pPr>
              <w:spacing w:after="0"/>
              <w:rPr>
                <w:sz w:val="21"/>
                <w:szCs w:val="21"/>
                <w:color w:val="auto"/>
              </w:rPr>
            </w:pPr>
          </w:p>
        </w:tc>
        <w:tc>
          <w:tcPr>
            <w:tcW w:w="2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 million</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million</w:t>
            </w:r>
          </w:p>
        </w:tc>
      </w:tr>
    </w:tbl>
    <w:p>
      <w:pPr>
        <w:spacing w:after="0" w:line="19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charged rent expense to companies controlled by certain directors.</w:t>
      </w:r>
    </w:p>
    <w:p>
      <w:pPr>
        <w:spacing w:after="0" w:line="24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expenses</w:t>
            </w:r>
          </w:p>
        </w:tc>
        <w:tc>
          <w:tcPr>
            <w:tcW w:w="3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0.3 million</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 million</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transactions were incurred in the normal course of operations. As at December 31, 2023, the Company no longer has transactions with related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set forth in this AIF, the management of Bitfarms is not aware of any material interest, direct or indirect, of any director, executive officer, any Person or Company beneficially owning, controlling or directing, directly or indirectly, more than ten (10%) percent of Bitfarms’ outstanding voting securities, or any Associate or Affiliate of the foregoing Persons, in any transaction in which Bitfarms has participated within the three years before March 6, 2024, that has materially affected or is reasonably expected to materially affect Bitfarms or any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registrar and transfer agent is TSX Trust Company, located at 100 Adelaide Street West, Suite 301, Toronto, Ontario M5H 4H1.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MATERIAL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for contracts made in the ordinary course of business, the following are the only material contracts entered into by Bitfarms which are currently in effect and considered to be material as of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custodial services agreement entered on April 21, 2021 between the Company and Coinbase Custody pursuant to which the Company appointed Coinbase to act as its provider of custodial services for the purpose of storing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custodial service agreement entered on August 1, 2023 between the Company and Anchorage Digital pursuant to which the Company appointed Anchorage Digital to act as provider of custodial services for the purpose of storing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Service Agreement entered on September 18, 2023 between the Company and Foundry USA Pool owned by Foundry Digital LLC (‘Foundry’), pursuant to which Foundry shall provide a mining Pool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eight-year power purchase agreement entered on April 1, 2021 between the Company and Generacion Mediterranea S.A. (GMSA) pursuant to which the Company secured up to 210 MW of natural gas-powered energy. The agreement establishes that GMSA will supply the Company with power at a rate of $0.02 per kilowatt hour for the first four years, up to a maximum amount of 1,103,760 megawatt hours, subject to certain pro-rata adjustments and requiring the Company and GMSA to negotiate in good faith the price of any energy that is excluded from the 1,103,760 megawatt hours, or the amount of megawatt hours determined after the pro-rata adjustments. The pricing on the remaining four years of the eight-year energy contract will be determined by a formula that is largely dependent on natural gas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INTERESTS OF 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PricewaterhouseCoopers LLP, Chartered Professional Accountants, who have issued a Report of Independent Registered Public Accounting Firm dated March 6, 2024 in respect of the Company’s consolidated financial statements as at December 31, 2023 and 2022 and for the years ended December 31, 2023 and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PricewaterhouseCoopers LLP has advised that they are independent with respect to the Company within the meaning of the Chartered Professional Accountants of Ontario CPA Code of Professional Conduct and the rules of the US Securities and Exchange Commission and the requirements of the Public Company Accounting Oversight Board Rule 3520, Auditor Independence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person or company whose profession or business gives authority to a report, valuation, statement or opinion and who is named as having prepared or certified a part of this AIF or as having prepared or certified a report or valuation described or included in this AIF holds or is to hold any beneficial or registered interest, direct or indirect, in any securities or property of Bitfarms or any associate or affiliate of Bitfarms or any subsidiaries thereof.</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Bitfarms Board currently has four committees:</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and Nominating Committee;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Social Responsibility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members of the Audit Committee are Brian Howlett, who also acts as Committee chair, Andres Finkielsztain and Edie Hofmeister. All of the members are considered “independent” directors as defined in National Instrument 52-110 – Audit Committee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xml:space="preserve">”). Each member of the Audit Committee is considered to be “financially literate” within the meaning of </w:t>
      </w:r>
      <w:r>
        <w:rPr>
          <w:rFonts w:ascii="Times New Roman" w:cs="Times New Roman" w:eastAsia="Times New Roman" w:hAnsi="Times New Roman"/>
          <w:sz w:val="18"/>
          <w:szCs w:val="18"/>
          <w:b w:val="1"/>
          <w:bCs w:val="1"/>
          <w:color w:val="auto"/>
        </w:rPr>
        <w:t>NI 52-110</w:t>
      </w:r>
      <w:r>
        <w:rPr>
          <w:rFonts w:ascii="Times New Roman" w:cs="Times New Roman" w:eastAsia="Times New Roman" w:hAnsi="Times New Roman"/>
          <w:sz w:val="18"/>
          <w:szCs w:val="18"/>
          <w:color w:val="auto"/>
        </w:rPr>
        <w:t>, which includes the ability to read and understand a set of financial statements that present a breadth and level of complexity of accounting issues that are generally comparable to the breadth and complexity of the Company’s financial statements. The full text of the charter of the Audit Committee (the “</w:t>
      </w:r>
      <w:r>
        <w:rPr>
          <w:rFonts w:ascii="Times New Roman" w:cs="Times New Roman" w:eastAsia="Times New Roman" w:hAnsi="Times New Roman"/>
          <w:sz w:val="18"/>
          <w:szCs w:val="18"/>
          <w:b w:val="1"/>
          <w:bCs w:val="1"/>
          <w:color w:val="auto"/>
        </w:rPr>
        <w:t>Audit Committee Charter</w:t>
      </w:r>
      <w:r>
        <w:rPr>
          <w:rFonts w:ascii="Times New Roman" w:cs="Times New Roman" w:eastAsia="Times New Roman" w:hAnsi="Times New Roman"/>
          <w:sz w:val="18"/>
          <w:szCs w:val="18"/>
          <w:color w:val="auto"/>
        </w:rPr>
        <w:t>”) is attached as Schedule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relevant education and experience of each of the members of the Audit Committee is as follows:</w:t>
      </w:r>
    </w:p>
    <w:p>
      <w:pPr>
        <w:spacing w:after="0" w:line="235" w:lineRule="exact"/>
        <w:rPr>
          <w:sz w:val="20"/>
          <w:szCs w:val="20"/>
          <w:color w:val="auto"/>
        </w:rPr>
      </w:pPr>
    </w:p>
    <w:p>
      <w:pPr>
        <w:spacing w:after="0"/>
        <w:tabs>
          <w:tab w:leader="none" w:pos="2800" w:val="left"/>
          <w:tab w:leader="none" w:pos="7540" w:val="left"/>
        </w:tabs>
        <w:rPr>
          <w:sz w:val="20"/>
          <w:szCs w:val="20"/>
          <w:color w:val="auto"/>
        </w:rPr>
      </w:pPr>
      <w:r>
        <w:rPr>
          <w:rFonts w:ascii="Times New Roman" w:cs="Times New Roman" w:eastAsia="Times New Roman" w:hAnsi="Times New Roman"/>
          <w:sz w:val="18"/>
          <w:szCs w:val="18"/>
          <w:b w:val="1"/>
          <w:bCs w:val="1"/>
          <w:color w:val="auto"/>
        </w:rPr>
        <w:t>Name of Member</w:t>
      </w:r>
      <w:r>
        <w:rPr>
          <w:sz w:val="20"/>
          <w:szCs w:val="20"/>
          <w:color w:val="auto"/>
        </w:rPr>
        <w:tab/>
      </w:r>
      <w:r>
        <w:rPr>
          <w:rFonts w:ascii="Times New Roman" w:cs="Times New Roman" w:eastAsia="Times New Roman" w:hAnsi="Times New Roman"/>
          <w:sz w:val="18"/>
          <w:szCs w:val="18"/>
          <w:b w:val="1"/>
          <w:bCs w:val="1"/>
          <w:color w:val="auto"/>
        </w:rPr>
        <w:t>Education</w:t>
      </w:r>
      <w:r>
        <w:rPr>
          <w:sz w:val="20"/>
          <w:szCs w:val="20"/>
          <w:color w:val="auto"/>
        </w:rPr>
        <w:tab/>
      </w:r>
      <w:r>
        <w:rPr>
          <w:rFonts w:ascii="Times New Roman" w:cs="Times New Roman" w:eastAsia="Times New Roman" w:hAnsi="Times New Roman"/>
          <w:sz w:val="18"/>
          <w:szCs w:val="18"/>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74"/>
        </w:trPr>
        <w:tc>
          <w:tcPr>
            <w:tcW w:w="1540" w:type="dxa"/>
            <w:vAlign w:val="bottom"/>
          </w:tcPr>
          <w:p>
            <w:pPr>
              <w:spacing w:after="0" w:line="274" w:lineRule="exact"/>
              <w:rPr>
                <w:sz w:val="20"/>
                <w:szCs w:val="20"/>
                <w:color w:val="auto"/>
              </w:rPr>
            </w:pPr>
            <w:r>
              <w:rPr>
                <w:rFonts w:ascii="Times New Roman" w:cs="Times New Roman" w:eastAsia="Times New Roman" w:hAnsi="Times New Roman"/>
                <w:sz w:val="18"/>
                <w:szCs w:val="18"/>
                <w:color w:val="auto"/>
              </w:rPr>
              <w:t xml:space="preserve">Brian Howlett </w:t>
            </w:r>
            <w:r>
              <w:rPr>
                <w:rFonts w:ascii="Times New Roman" w:cs="Times New Roman" w:eastAsia="Times New Roman" w:hAnsi="Times New Roman"/>
                <w:sz w:val="29"/>
                <w:szCs w:val="29"/>
                <w:color w:val="auto"/>
                <w:vertAlign w:val="superscript"/>
              </w:rPr>
              <w:t>(1)</w:t>
            </w: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Bachelor of Commerce from</w:t>
            </w:r>
          </w:p>
        </w:tc>
      </w:tr>
      <w:tr>
        <w:trPr>
          <w:trHeight w:val="211"/>
        </w:trPr>
        <w:tc>
          <w:tcPr>
            <w:tcW w:w="1540" w:type="dxa"/>
            <w:vAlign w:val="bottom"/>
          </w:tcPr>
          <w:p>
            <w:pPr>
              <w:spacing w:after="0"/>
              <w:rPr>
                <w:sz w:val="18"/>
                <w:szCs w:val="18"/>
                <w:color w:val="auto"/>
              </w:rPr>
            </w:pP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Concordia University (1982). CMA</w:t>
            </w:r>
          </w:p>
        </w:tc>
      </w:tr>
      <w:tr>
        <w:trPr>
          <w:trHeight w:val="234"/>
        </w:trPr>
        <w:tc>
          <w:tcPr>
            <w:tcW w:w="1540" w:type="dxa"/>
            <w:vAlign w:val="bottom"/>
          </w:tcPr>
          <w:p>
            <w:pPr>
              <w:spacing w:after="0"/>
              <w:rPr>
                <w:sz w:val="20"/>
                <w:szCs w:val="20"/>
                <w:color w:val="auto"/>
              </w:rPr>
            </w:pPr>
          </w:p>
        </w:tc>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designation (1989).</w:t>
            </w: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Howlett is currently the President, Chief Executive Officer and Director of Hemlo Explorers Inc. Mr. Howlett recently served as the President, Chief Executive Officer and a Director of Dundee Sustainable Technologies Inc. He also formerly served as the President and Chief Financial Officer of Superior Copper Corporation. Prior to that, Mr. Howlett spent twelve years with ELI Eco Logic Inc., including six years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-837565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400" w:space="340"/>
            <w:col w:w="6500"/>
          </w:cols>
          <w:pgMar w:left="320" w:top="927" w:right="339" w:bottom="1440" w:gutter="0" w:footer="0" w:header="0"/>
          <w:type w:val="continuous"/>
        </w:sect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Andres Finkielsztain</w:t>
      </w:r>
      <w:r>
        <w:rPr>
          <w:sz w:val="20"/>
          <w:szCs w:val="20"/>
          <w:color w:val="auto"/>
        </w:rPr>
        <w:tab/>
      </w:r>
      <w:r>
        <w:rPr>
          <w:rFonts w:ascii="Times New Roman" w:cs="Times New Roman" w:eastAsia="Times New Roman" w:hAnsi="Times New Roman"/>
          <w:sz w:val="17"/>
          <w:szCs w:val="17"/>
          <w:color w:val="auto"/>
        </w:rPr>
        <w:t>Bachelor of Economics from Bard</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College, New York (1999)</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Mr. Finkielsztain is the Founding Managing Partner of FinkWald LLC, a private investment office specializing in private equity, real estate, media, and technology. He was also the co-head of the Special Situations division at Banco Industrial in Argentina, where he analyzed and provided financing solutions to Argentinean-based companies and institutions. Until February 2018, Mr. Finkielsztain as portfolio manager and financial advisor for Soros Brothers Investments ("SBI"), a private investment office founded in 2011 by Alexander and Gregory Soros,.Mr. Finkielsztain also worked at J.P. Morgan for over 10 years in various capacities within Asset Management, including the role of Global Investment Opportunity and Emerging Markets Specialist.</w:t>
      </w:r>
    </w:p>
    <w:p>
      <w:pPr>
        <w:spacing w:after="0" w:line="188" w:lineRule="exact"/>
        <w:rPr>
          <w:sz w:val="20"/>
          <w:szCs w:val="20"/>
          <w:color w:val="auto"/>
        </w:rPr>
      </w:pPr>
    </w:p>
    <w:p>
      <w:pPr>
        <w:sectPr>
          <w:pgSz w:w="11900" w:h="16838" w:orient="portrait"/>
          <w:cols w:equalWidth="0" w:num="2">
            <w:col w:w="4300" w:space="440"/>
            <w:col w:w="6500"/>
          </w:cols>
          <w:pgMar w:left="320" w:top="927" w:right="339" w:bottom="1440" w:gutter="0" w:footer="0" w:header="0"/>
          <w:type w:val="continuous"/>
        </w:sect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Edith Margaret</w:t>
      </w:r>
      <w:r>
        <w:rPr>
          <w:sz w:val="20"/>
          <w:szCs w:val="20"/>
          <w:color w:val="auto"/>
        </w:rPr>
        <w:tab/>
      </w:r>
      <w:r>
        <w:rPr>
          <w:rFonts w:ascii="Times New Roman" w:cs="Times New Roman" w:eastAsia="Times New Roman" w:hAnsi="Times New Roman"/>
          <w:sz w:val="17"/>
          <w:szCs w:val="17"/>
          <w:color w:val="auto"/>
        </w:rPr>
        <w:t>Juris Doctor degree from the</w:t>
      </w:r>
    </w:p>
    <w:p>
      <w:pPr>
        <w:spacing w:after="0" w:line="27"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Hofmeister</w:t>
      </w:r>
      <w:r>
        <w:rPr>
          <w:sz w:val="20"/>
          <w:szCs w:val="20"/>
          <w:color w:val="auto"/>
        </w:rPr>
        <w:tab/>
      </w:r>
      <w:r>
        <w:rPr>
          <w:rFonts w:ascii="Times New Roman" w:cs="Times New Roman" w:eastAsia="Times New Roman" w:hAnsi="Times New Roman"/>
          <w:sz w:val="18"/>
          <w:szCs w:val="18"/>
          <w:color w:val="auto"/>
        </w:rPr>
        <w:t>University of San Francisco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Ms. Hofmeister is an Attorney and C-suite executive who has advised large and small multi-national extractive companies on legal and ESG matters for over twenty years, where she reviewed and prepared disclosure documents, acted as the point person for SEC communications, oversaw internal controls and SOX compliance, anti-corruption, whistleblower and governance programs and audits, and acted as corporate secretary to audit and risk committees of NYSE-listed companies. She has also served as Executive Vice President Corporate Affairs and General Counsel for Tahoe Resources where she led the Legal, Sustainability and Government Affairs departments and helped grow Tahoe from a junior exploration company to a mid-cap precious metals producer from 2010 to 2019. Ms. Hofmeister also received a Bachelor of Arts degree in international relations from UCLA and a Master of Arts degree in international peace studies from the University of Notre Dame.</w:t>
      </w:r>
    </w:p>
    <w:p>
      <w:pPr>
        <w:spacing w:after="0" w:line="432" w:lineRule="exact"/>
        <w:rPr>
          <w:sz w:val="20"/>
          <w:szCs w:val="20"/>
          <w:color w:val="auto"/>
        </w:rPr>
      </w:pPr>
    </w:p>
    <w:p>
      <w:pPr>
        <w:sectPr>
          <w:pgSz w:w="11900" w:h="16838" w:orient="portrait"/>
          <w:cols w:equalWidth="0" w:num="2">
            <w:col w:w="4020" w:space="720"/>
            <w:col w:w="6500"/>
          </w:cols>
          <w:pgMar w:left="320" w:top="927" w:right="339" w:bottom="1440" w:gutter="0" w:footer="0" w:header="0"/>
          <w:type w:val="continuous"/>
        </w:sectPr>
      </w:pPr>
    </w:p>
    <w:p>
      <w:pPr>
        <w:ind w:right="8560" w:firstLine="8"/>
        <w:spacing w:after="0" w:line="798" w:lineRule="auto"/>
        <w:tabs>
          <w:tab w:leader="none" w:pos="4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85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80" w:hanging="270"/>
        <w:spacing w:after="0"/>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15.1 AUDIT COMMITTEE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Oversight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the commencement of the Company’s most recently completed financial year, there has not been a recommendation of the Audit Committee to nominate or compensate an external auditor which was not adopted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is required to pre-approve all audit and non-audit services not prohibited by law to be provided by the independent auditors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Auditor Service Fees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in respect of audit, audit related, tax and other fees billed by the Company’s independent registered public accounting firm, in US$, during the fiscal years ended December 31, 2023 and December 31, 2022.</w:t>
      </w:r>
    </w:p>
    <w:p>
      <w:pPr>
        <w:spacing w:after="0" w:line="18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51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3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444,000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651,000</w:t>
            </w:r>
          </w:p>
        </w:tc>
      </w:tr>
      <w:tr>
        <w:trPr>
          <w:trHeight w:val="257"/>
        </w:trPr>
        <w:tc>
          <w:tcPr>
            <w:tcW w:w="51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(2)</w:t>
            </w:r>
          </w:p>
        </w:tc>
        <w:tc>
          <w:tcPr>
            <w:tcW w:w="3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287,000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310,000</w:t>
            </w:r>
          </w:p>
        </w:tc>
      </w:tr>
      <w:tr>
        <w:trPr>
          <w:trHeight w:val="256"/>
        </w:trPr>
        <w:tc>
          <w:tcPr>
            <w:tcW w:w="5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3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731,000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984,000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for the audit of the Company’s annual financial statements.</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professional services rendered by the auditor and consisted primarily of file quality review fees and fees for the review of quarterly financial statements, related documents and consent letters.</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 GOVERNANCE AND NOMINATING COMMITTEE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maintains a governance and nominating committee (the “</w:t>
      </w:r>
      <w:r>
        <w:rPr>
          <w:rFonts w:ascii="Times New Roman" w:cs="Times New Roman" w:eastAsia="Times New Roman" w:hAnsi="Times New Roman"/>
          <w:sz w:val="18"/>
          <w:szCs w:val="18"/>
          <w:b w:val="1"/>
          <w:bCs w:val="1"/>
          <w:color w:val="auto"/>
        </w:rPr>
        <w:t>Governance and Nominating Committee</w:t>
      </w:r>
      <w:r>
        <w:rPr>
          <w:rFonts w:ascii="Times New Roman" w:cs="Times New Roman" w:eastAsia="Times New Roman" w:hAnsi="Times New Roman"/>
          <w:sz w:val="18"/>
          <w:szCs w:val="18"/>
          <w:color w:val="auto"/>
        </w:rPr>
        <w:t>”). The Governance and Nominating Committee is responsible for: (i) assisting management in developing responsible corporate governance policies and practices for the Company; (ii) overseeing adherence to corporate governance rules, policies and principles; (iii) identifying individuals qualified to be nominated as members of the Board; (iv) the structure and composition of Board committees; (v) evaluating the performance and effectiveness of the Board and its committees; and (vi) overseeing compliance with the Company’s Code of Business Conduct and Ethics. The current members of the Governance and Nominating Committee are Edie Hofmeister as Committee chair, Brian Howlett and Andrés Finkielsztain.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80" w:hanging="272"/>
        <w:spacing w:after="0"/>
        <w:tabs>
          <w:tab w:leader="none" w:pos="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15.3 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Compensation Committee is responsible for ensuring that Bitfarms has in place an appropriate plan for executive compensation and for making recommendations with respect to the compensation of the Company’s executive officers. The Board ensures that compensation paid to named executive officers (NEOs) and executives is fair, reasonable, and consistent with Bitfarms’ compensation policies and best practices. The current members of the Compensation Committee are Andres Finkielsztain as Committee Chair, Brian Howlett and Emiliano Grodzki.</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Board reviews, and may approve, recommendations from management regarding compensation for employees senior management and directors. A combination of fixed and variable compensation is used to motivate executive officers and to achieve overall corporate goals. The three basic components of Bitfarms’ executive compensation program are:</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Plans (bonus);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Plans (stock options and restricted share unit-based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15.4 ENVIRONMENTAL AND SOCIAL RESPONSIBILITY COMMITTEE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Environmental and Social Responsibility Committee’s primary mandate is to assist the Board of Directors in overseeing the Company’s programs, policies and practices relating to health and safety, environmental sustainability and corporate social responsibility. The current members of the Environmental and Social Responsibility Committee are Edie Hofmeister as Committee chair, Brian Howlett and Emiliano Grodzki.</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instituted an ESG Steering Committee, comprised of Vice Presidents and managerial-level employees, tasked with the responsibility of formulating, sustaining, and enhancing the Company’s initiatives, policies, practices, and disclosures pertaining to ESG. The committee comprises officers and employees from various departments, including Sustainability, Legal, Human Resources, Communications, Information Technology, Finance, and Global Risk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 commitment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current operating facilities, except for Argentina, use primarily renewable, clean energy provided by Hydro-Québec, Hydro-Sherbrooke (Quebec), Hydro-Magog (Quebec), Hydro-Baie-Comeau (Quebec), Grant County Public Utility District (Washington State) and Compañía de Luz y Fuerza Sociedad Anónima “CLYFSA” (Paraguay). To the best of the Company’s knowledge, the Company will not incur significant costs or investments in order to comply with provisions relating to environmental protection on its current facilities, besides maintaining the procedures currently applied by it. The Company’s facility described in Section 5.2 -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uses natural gas.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15.5 RISK COMMITTEE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Risk Committee is to oversee the activities of the Company in the area of Financial Risk Management and for establishing standards for the risk management processes within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 Committee is responsible for identifying and assessing market risks, legal risk, liquidity risk, accounting risk, tax risk, operational risk, regulatory risk, compliance risk, technology risk and reputational risk (the “Risks”) in connection with the conduct of market operations and the implementation of its strategies.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COMMITTEES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15.5 RISK COMMITTEE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Risk capacity, risk appetite, risk tolerance and risk targets and parameters (such as the hedge ratio) are articulated by the Risk Committee and presented to the Board for review and approval.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Risk Committee is responsible for defining the strategy to address the Risks outlined above within the risk parameters approved by the Board. The Risk Committee is also responsible for operationalizing the strategy and conducting its open market operations competently.</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Risk Management” </w:t>
      </w:r>
      <w:r>
        <w:rPr>
          <w:rFonts w:ascii="Times New Roman" w:cs="Times New Roman" w:eastAsia="Times New Roman" w:hAnsi="Times New Roman"/>
          <w:sz w:val="18"/>
          <w:szCs w:val="18"/>
          <w:color w:val="auto"/>
        </w:rPr>
        <w:t>means, without being limited to, the strategy and processes for implementing hedges to mitigate the risk introduced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volatility of bitcoin to the Company’s operating cash flows and its mining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PROMOTERS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promoters (“Promoters”)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 of</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6"/>
                <w:szCs w:val="16"/>
                <w:color w:val="auto"/>
              </w:rPr>
            </w:pPr>
          </w:p>
        </w:tc>
        <w:tc>
          <w:tcPr>
            <w:tcW w:w="2400" w:type="dxa"/>
            <w:vAlign w:val="bottom"/>
          </w:tcPr>
          <w:p>
            <w:pPr>
              <w:jc w:val="center"/>
              <w:ind w:left="4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Class of Securities</w:t>
            </w:r>
          </w:p>
        </w:tc>
        <w:tc>
          <w:tcPr>
            <w:tcW w:w="1780" w:type="dxa"/>
            <w:vAlign w:val="bottom"/>
          </w:tcPr>
          <w:p>
            <w:pPr>
              <w:jc w:val="right"/>
              <w:ind w:right="330"/>
              <w:spacing w:after="0" w:line="184" w:lineRule="exact"/>
              <w:rPr>
                <w:sz w:val="20"/>
                <w:szCs w:val="20"/>
                <w:color w:val="auto"/>
              </w:rPr>
            </w:pPr>
            <w:r>
              <w:rPr>
                <w:rFonts w:ascii="Times New Roman" w:cs="Times New Roman" w:eastAsia="Times New Roman" w:hAnsi="Times New Roman"/>
                <w:sz w:val="18"/>
                <w:szCs w:val="18"/>
                <w:b w:val="1"/>
                <w:bCs w:val="1"/>
                <w:color w:val="auto"/>
              </w:rPr>
              <w:t>Quantity of</w:t>
            </w:r>
          </w:p>
        </w:tc>
        <w:tc>
          <w:tcPr>
            <w:tcW w:w="8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gridSpan w:val="2"/>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 Owned</w:t>
            </w:r>
          </w:p>
        </w:tc>
        <w:tc>
          <w:tcPr>
            <w:tcW w:w="800" w:type="dxa"/>
            <w:vAlign w:val="bottom"/>
            <w:tcBorders>
              <w:bottom w:val="single" w:sz="8" w:color="auto"/>
            </w:tcBorders>
          </w:tcPr>
          <w:p>
            <w:pPr>
              <w:jc w:val="center"/>
              <w:ind w:left="50"/>
              <w:spacing w:after="0" w:line="270" w:lineRule="exact"/>
              <w:rPr>
                <w:sz w:val="20"/>
                <w:szCs w:val="20"/>
                <w:color w:val="auto"/>
              </w:rPr>
            </w:pPr>
            <w:r>
              <w:rPr>
                <w:rFonts w:ascii="Times New Roman" w:cs="Times New Roman" w:eastAsia="Times New Roman" w:hAnsi="Times New Roman"/>
                <w:sz w:val="18"/>
                <w:szCs w:val="18"/>
                <w:b w:val="1"/>
                <w:bCs w:val="1"/>
                <w:color w:val="auto"/>
                <w:w w:val="91"/>
              </w:rPr>
              <w:t>Class</w:t>
            </w:r>
            <w:r>
              <w:rPr>
                <w:rFonts w:ascii="Times New Roman" w:cs="Times New Roman" w:eastAsia="Times New Roman" w:hAnsi="Times New Roman"/>
                <w:sz w:val="29"/>
                <w:szCs w:val="29"/>
                <w:b w:val="1"/>
                <w:bCs w:val="1"/>
                <w:color w:val="auto"/>
                <w:w w:val="91"/>
                <w:vertAlign w:val="superscript"/>
              </w:rPr>
              <w:t>(1)</w:t>
            </w:r>
          </w:p>
        </w:tc>
        <w:tc>
          <w:tcPr>
            <w:tcW w:w="4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in CAD</w:t>
            </w:r>
          </w:p>
        </w:tc>
        <w:tc>
          <w:tcPr>
            <w:tcW w:w="12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Emiliano Joel Grodzki</w:t>
            </w:r>
          </w:p>
        </w:tc>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1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6,698,443</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2,314,900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24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Common Shares</w:t>
            </w: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8,625,452</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2,304,900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66,666</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15,323,895</w:t>
            </w:r>
          </w:p>
        </w:tc>
        <w:tc>
          <w:tcPr>
            <w:tcW w:w="8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4,619,800</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216,666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6, 2024 a total of 339,274,441 Common shares are issued and outstanding.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(’‘RSUs’’)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Certain Promoters have entered into certain non-arm’s length transactions with the Company. See Section 11 - </w:t>
      </w:r>
      <w:r>
        <w:rPr>
          <w:rFonts w:ascii="Times New Roman" w:cs="Times New Roman" w:eastAsia="Times New Roman" w:hAnsi="Times New Roman"/>
          <w:sz w:val="18"/>
          <w:szCs w:val="18"/>
          <w:i w:val="1"/>
          <w:iCs w:val="1"/>
          <w:color w:val="auto"/>
        </w:rPr>
        <w:t>INTEREST OF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OTHERS IN MATERIAL TRANSACTIONS - Transactions with Related Parties.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AIF,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AIF,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CEO. The following is a description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one 54 MW server farm located in Cordoba, Argentina (with an electrical infrastructure capacity of 55 MW). Refer to Section 7 - </w:t>
      </w:r>
      <w:r>
        <w:rPr>
          <w:rFonts w:ascii="Times New Roman" w:cs="Times New Roman" w:eastAsia="Times New Roman" w:hAnsi="Times New Roman"/>
          <w:sz w:val="18"/>
          <w:szCs w:val="18"/>
          <w:i w:val="1"/>
          <w:iCs w:val="1"/>
          <w:color w:val="auto"/>
        </w:rPr>
        <w:t xml:space="preserve">Expansion Projects - A. Argentina Expansion </w:t>
      </w:r>
      <w:r>
        <w:rPr>
          <w:rFonts w:ascii="Times New Roman" w:cs="Times New Roman" w:eastAsia="Times New Roman" w:hAnsi="Times New Roman"/>
          <w:sz w:val="18"/>
          <w:szCs w:val="18"/>
          <w:color w:val="auto"/>
        </w:rPr>
        <w:t>of the MD&amp;A and this AIF under Section 5.2</w:t>
      </w:r>
      <w:r>
        <w:rPr>
          <w:rFonts w:ascii="Times New Roman" w:cs="Times New Roman" w:eastAsia="Times New Roman" w:hAnsi="Times New Roman"/>
          <w:sz w:val="18"/>
          <w:szCs w:val="18"/>
          <w:i w:val="1"/>
          <w:iCs w:val="1"/>
          <w:color w:val="auto"/>
        </w:rPr>
        <w:t xml:space="preserve"> - FUTURE GROWTH PLANS - ARGENTINA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this AIF and, as of the date of this AIF,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one 10 MW server farm located in Villarrica, Paraguay. Refer to Section 7 - </w:t>
      </w:r>
      <w:r>
        <w:rPr>
          <w:rFonts w:ascii="Times New Roman" w:cs="Times New Roman" w:eastAsia="Times New Roman" w:hAnsi="Times New Roman"/>
          <w:sz w:val="18"/>
          <w:szCs w:val="18"/>
          <w:i w:val="1"/>
          <w:iCs w:val="1"/>
          <w:color w:val="auto"/>
        </w:rPr>
        <w:t>Expansion Projects - B. Paraguay Expansion</w:t>
      </w:r>
      <w:r>
        <w:rPr>
          <w:rFonts w:ascii="Times New Roman" w:cs="Times New Roman" w:eastAsia="Times New Roman" w:hAnsi="Times New Roman"/>
          <w:sz w:val="18"/>
          <w:szCs w:val="18"/>
          <w:color w:val="auto"/>
        </w:rPr>
        <w:t xml:space="preserve"> of the MD&amp;A and this 2023 AIF under Section 5.3 </w:t>
      </w:r>
      <w:r>
        <w:rPr>
          <w:rFonts w:ascii="Times New Roman" w:cs="Times New Roman" w:eastAsia="Times New Roman" w:hAnsi="Times New Roman"/>
          <w:sz w:val="18"/>
          <w:szCs w:val="18"/>
          <w:i w:val="1"/>
          <w:iCs w:val="1"/>
          <w:color w:val="auto"/>
        </w:rPr>
        <w:t>-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this AIF and, as of the date of this AIF,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one 18 MW server farm located in the State of Washington in the United States. Refer to Section 7 - </w:t>
      </w:r>
      <w:r>
        <w:rPr>
          <w:rFonts w:ascii="Times New Roman" w:cs="Times New Roman" w:eastAsia="Times New Roman" w:hAnsi="Times New Roman"/>
          <w:sz w:val="18"/>
          <w:szCs w:val="18"/>
          <w:i w:val="1"/>
          <w:iCs w:val="1"/>
          <w:color w:val="auto"/>
        </w:rPr>
        <w:t>Expansion Projects -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Washington Expansion </w:t>
      </w:r>
      <w:r>
        <w:rPr>
          <w:rFonts w:ascii="Times New Roman" w:cs="Times New Roman" w:eastAsia="Times New Roman" w:hAnsi="Times New Roman"/>
          <w:sz w:val="18"/>
          <w:szCs w:val="18"/>
          <w:color w:val="auto"/>
        </w:rPr>
        <w:t>of the MD&amp;A and this AIF under the Section 5.4</w:t>
      </w:r>
      <w:r>
        <w:rPr>
          <w:rFonts w:ascii="Times New Roman" w:cs="Times New Roman" w:eastAsia="Times New Roman" w:hAnsi="Times New Roman"/>
          <w:sz w:val="18"/>
          <w:szCs w:val="18"/>
          <w:i w:val="1"/>
          <w:iCs w:val="1"/>
          <w:color w:val="auto"/>
        </w:rPr>
        <w:t xml:space="preserve"> - FUTURE GROWTH PLANS - WASHINGTON EXPANSION.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this AIF and, as of the date of this AIF,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Refer to Section 7 -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the MD&amp;A and this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this AIF and, as of the date of this AIF,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relating to the Company, including financial information in the Company’s Financial Statements and MD&amp;A for Fiscal 2023, is available on SEDAR+ at www.sedarplus.ca and on and on the U.S. Securities and Exchange Commission's EDGAR website at www.sec.gov/edgar. Moreover, additional information, including directors’ and officers’ remuneration and indebtedness, principal holders of the Company’s securities and securities authorized for issuance under equity compensation plans, if applicable, is contained in the Company’s information circular for its most recent annual meeting of security holders.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CHARTER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sets forth the purpose, composition, responsibilities and authority of the Audit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shall:</w:t>
      </w:r>
    </w:p>
    <w:p>
      <w:pPr>
        <w:spacing w:after="0" w:line="22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assist the Board in its oversight role with respect to the quality and integrity of the Corporation’s financial statements, financial reporting processes, and systems of internal controls and disclosure controls regarding risk management, finance, accounting and legal and regulatory compliance;</w:t>
      </w:r>
    </w:p>
    <w:p>
      <w:pPr>
        <w:spacing w:after="0" w:line="16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effectiveness of the Corporation’s risk management and compliance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independent auditor’s performance, qualifications and independence;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the Corporation’s internal audit function; review the periodic audits performed by the independent auditor and the Corporation’s internal accounting department;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Corporation’s financial statements, management discussion and analysis and annual and interim earnings press release before the Corporation publicly discloses such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Corporation’s compliance with legal and regulatory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all filings and disclosure documents required to be prepared by the Committee and/or the Board pursuant to all applicable federal, provincial and state securities legislation and the rules and regulations of all securities commissions having jurisdiction over the Corporation.</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Despite the foregoing, it is not the duty of the Committee to plan or conduct audits, or to determine that the Company’s financial statements are complete and accurate or in accordance with generally accepted accounting principles, accounting standards or applicable laws and regulations. This is the responsibility of the Corporation’s management, internal accounting department and independent auditors. The primary function of the Committee is oversight, and it is therefore entitled to rely on the expertise, skills and knowledge of the Corporation’s management, internal accounting department, independent auditors and other external advisors and the integrity and accuracy in information provided by such persons or entities. Nothing in this Charter is intended to change or in any way limit the responsibilities and duties of the Corporation’s management, internal accounting department, or independent auditors.</w:t>
      </w:r>
    </w:p>
    <w:p>
      <w:pPr>
        <w:spacing w:after="0" w:line="18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and Membership</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shall be composed of not less than three members, each of whom shall be a director of the Corporation. All members of the Committee shall not be an officer or employee of the Corporation, and shall satisfy the applicable independence and experience requirements of the laws governing the Corporation, the applicable stock exchanges on which the Corporation’s securities are listed and applicable securities regulatory authorities.</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member of the Committee shall be financially literate as such qualification is interpreted by the Board in its business judgment. At least one member of the Committee will qualify as an audit committee financial expert as defined by the U.S. Securities and Exchange Commission ( the “SEC”).</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ceases to be a director or ceases to meet the requirements established by any applicable securities regulatory authority, including but not limited to the Ontario Securities Commission and the Securities and Exchange Commission of the United States of America. The Board may fill a vacancy that occurs in the Committee at any time.</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Board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time and place of meetings of the Committee and the procedure at such meetings shall be determined from time to time by the members provided that:</w:t>
      </w:r>
    </w:p>
    <w:p>
      <w:pPr>
        <w:spacing w:after="0" w:line="162"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for meetings shall be a majority of the members, present in person or by telephone or other telecommunication device that permits all persons participating in the meeting to speak or hear each other;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meet at least quarterly;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direct management to maintain minutes or other records of meetings and activities of the Committee and shall ensure minutes are kept in sufficient detail to convey the substance of all discussions held. Upon approval of the minutes by the Committee, the minutes shall be circulated to members of the Board;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 is entitled to attend and be heard at each Committee meeting, and in addition, the Committee may invite to a meeting any officers or employees of the Corporation, legal counsel, advisors and other persons whose attendance it considers necessary or desirable in order to carry out its responsibilities;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Committee may act by unanimous written consent in lieu of a meeting.</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Committee shall report to the Board on its activities after each of its meetings. The Committee shall review and assess the adequacy of this charter annually and, where necessary,recommend changes to the Board for its approval. The Committee shall undertake and review with the Board an annual performance evaluation of the Committee, which shall assess the performance of the Committee against the requirements of this charter.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79"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Oversight of the Independent Auditor</w:t>
      </w:r>
    </w:p>
    <w:p>
      <w:pPr>
        <w:spacing w:after="0" w:line="229" w:lineRule="exact"/>
        <w:rPr>
          <w:rFonts w:ascii="Times New Roman" w:cs="Times New Roman" w:eastAsia="Times New Roman" w:hAnsi="Times New Roman"/>
          <w:sz w:val="18"/>
          <w:szCs w:val="18"/>
          <w:b w:val="1"/>
          <w:bCs w:val="1"/>
          <w:color w:val="auto"/>
        </w:rPr>
      </w:pPr>
    </w:p>
    <w:p>
      <w:pPr>
        <w:jc w:val="both"/>
        <w:ind w:left="980" w:hanging="324"/>
        <w:spacing w:after="0" w:line="261"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recommend to the Board for its approval, the appointment or replacement of the independent auditor and its compensation (subject to shareholder ratification) and responsibility for the oversight of the work of the independent auditor (including resolution of disagreements between company management (“Management”) and the independent auditor regarding financial reporting) for the purpose of preparing or issuing an audit report or related work. The independent auditor shall report directly to the Committee;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address any such issues; and all relationships between the independent auditor and the Corporation;</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prior to the annual audit the scope, planning and staffing of the annual audit;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rotation of the lead (or coordinating) audit partner having primary responsibility for the audit and the audit partner responsible for reviewing the audit as required by law;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as necessary policies for the Corporation’s hiring of partners, employees or former partners and employees of the independent auditor.</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3.2 Financial Reporting</w:t>
      </w:r>
    </w:p>
    <w:p>
      <w:pPr>
        <w:spacing w:after="0" w:line="229"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the annual audited financial statements prior to the publication of earnings.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annual and quarterly disclosures made in Management’s Discussion and Analysis. The Committee shall approve any reports for inclusion in the Corporation’s Annual Information Form, as required by applicable law.</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Management’s report on its assessment of internal controls over financial reporting and the independent auditor’s attestation report on Management’s assessment, if required.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Corporation’s quarterly financial statements prior to the publication of earnings.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auditor at least annually any “Management” or “internal control” letters issued or proposed to be issued by the independent auditor to the Corporation.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any significant changes to the Corporation’s accounting principles and practices suggested by the independent auditor, internal audit personnel or Management.</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the Corporation’s earnings press releases, including the use of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or “adjusted” non-GAAP information, as well as financial information and earnings and revenue guidance (if any) provided to analysts and rating agencies.</w:t>
      </w:r>
    </w:p>
    <w:p>
      <w:pPr>
        <w:spacing w:after="0" w:line="160"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auditor at least annually the effect of regulatory and accounting initiatives as well as off-balance sheet structures on the Corporation’s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Corporation’s Corporate Secretary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3.3 Oversight of Risk Management</w:t>
      </w:r>
    </w:p>
    <w:p>
      <w:pPr>
        <w:spacing w:after="0" w:line="229"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periodically Management’s risk philosophy and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at least annually reports demonstrating compliance with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quality and competence of Management appointed to administer risk management policies.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reports from the independent auditor at least annually relating to the adequacy of the Corporation’s risk management practices together with Management’s responses.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at least annually the Corporation’s major financial risk exposures and the steps Management has taken to monitor and control such exposures, including the Corporation’s risk assessment and risk management policies.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3.4 Oversight of Regulatory Compliance</w:t>
      </w:r>
    </w:p>
    <w:p>
      <w:pPr>
        <w:spacing w:after="0" w:line="229" w:lineRule="exact"/>
        <w:rPr>
          <w:sz w:val="20"/>
          <w:szCs w:val="20"/>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the Corporation’s regulators, according to applicable law.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such other powers and perform such other duties and responsibilities as are incidental to the purposes, duties and responsibilities specified herein and as may from time to time be delegated to the Committee by the Board.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for the Independent Auditor and Retention of Other Independent Advisors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Receipt of Complaints and Submissions Relating to Accounting Matters</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adopted a Whistleblower Policy (the “</w:t>
      </w:r>
      <w:r>
        <w:rPr>
          <w:rFonts w:ascii="Times New Roman" w:cs="Times New Roman" w:eastAsia="Times New Roman" w:hAnsi="Times New Roman"/>
          <w:sz w:val="18"/>
          <w:szCs w:val="18"/>
          <w:b w:val="1"/>
          <w:bCs w:val="1"/>
          <w:color w:val="auto"/>
        </w:rPr>
        <w:t>Whistleblower Policy</w:t>
      </w:r>
      <w:r>
        <w:rPr>
          <w:rFonts w:ascii="Times New Roman" w:cs="Times New Roman" w:eastAsia="Times New Roman" w:hAnsi="Times New Roman"/>
          <w:sz w:val="18"/>
          <w:szCs w:val="18"/>
          <w:color w:val="auto"/>
        </w:rPr>
        <w:t>”), copies of which shall be made available to directors, officers, employees, consultants and contractors of the Company, either directly or by posting to the Bitfarms website at www.bitfarms.com. The Corporation shall inform employees on the Corporation’s intranet, if there is one, or via a newsletter or e-mail that is disseminated to all employees at least annually, about the Whistleblower Policy. Pursuant to the Whistleblower Policy, any person with a complaint or concern regarding a financial matter (or other matter relating to the Corporation) may submit anonymous complaints or concerns via an independent third-party platform (the “</w:t>
      </w:r>
      <w:r>
        <w:rPr>
          <w:rFonts w:ascii="Times New Roman" w:cs="Times New Roman" w:eastAsia="Times New Roman" w:hAnsi="Times New Roman"/>
          <w:sz w:val="18"/>
          <w:szCs w:val="18"/>
          <w:b w:val="1"/>
          <w:bCs w:val="1"/>
          <w:color w:val="auto"/>
        </w:rPr>
        <w:t>Complaints Platform</w:t>
      </w:r>
      <w:r>
        <w:rPr>
          <w:rFonts w:ascii="Times New Roman" w:cs="Times New Roman" w:eastAsia="Times New Roman" w:hAnsi="Times New Roman"/>
          <w:sz w:val="18"/>
          <w:szCs w:val="18"/>
          <w:color w:val="auto"/>
        </w:rPr>
        <w:t>”) available at http://bitfarms.ethicspoint.com/ or http://bitfarmsmobile.ethicspoint.com/ or by telephone at 1-844-992-4862 toll-free, within the United States, Guam, Puerto Rico and Canada which are accessible 24 hours a day, 7 days a week.</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ensure the Whistleblower Policy provides review procedures for: (a) the receipt, retention and resolution of complaints received by the listed issuer regarding accounting, internal accounting controls, or auditing matters; and (b) The confidential,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report from through the Whistleblower reporting mechanism, the Committee shall discuss the report and take such steps as the Committee may deem appropriate. Any reports so received will be kept confidential and the identity of employees making complaints or submissions shall only be communicated to the Committee or the Chair of the Committee.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reports or submissions shall be reported to the Committee as frequently as the Committee deems appropriate, but in any event no less frequently than on a quarterly basis prior to the quarterly meetings of the Committee called to approve interim and annual financial statements of the Corporation.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inform the Board of the filed complaints or concerns at regularly scheduled meetings (unless they are unfounded or unless the materiality of the complaint requires earlier action).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Committee, or other person designated by such, shall retain a record of complaint or submission received for a period of six years following resolution of the complaint or submission.</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Approval of Non-Audit Services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 The Corporation’s external auditors shall be prohibited from performing for the Corporation the following categories of non-audit services: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bookkeeping or other services related to the Corporation’s accounting records or 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systems design and implementation;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or valuation services, fairness opinion or contributions-in-kind reports;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 |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audit outsourcing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or dealer, investment adviser or investment banking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services unrelated to the audit;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 that the Canadian Public Accountability Board determines is impermissible.</w:t>
      </w:r>
    </w:p>
    <w:p>
      <w:pPr>
        <w:spacing w:after="0" w:line="225" w:lineRule="exact"/>
        <w:rPr>
          <w:sz w:val="20"/>
          <w:szCs w:val="20"/>
          <w:color w:val="auto"/>
        </w:rPr>
      </w:pPr>
    </w:p>
    <w:p>
      <w:pPr>
        <w:jc w:val="both"/>
        <w:ind w:left="660" w:hanging="323"/>
        <w:spacing w:after="0" w:line="261" w:lineRule="auto"/>
        <w:rPr>
          <w:sz w:val="20"/>
          <w:szCs w:val="20"/>
          <w:color w:val="auto"/>
        </w:rPr>
      </w:pPr>
      <w:r>
        <w:rPr>
          <w:rFonts w:ascii="Times New Roman" w:cs="Times New Roman" w:eastAsia="Times New Roman" w:hAnsi="Times New Roman"/>
          <w:sz w:val="18"/>
          <w:szCs w:val="18"/>
          <w:color w:val="auto"/>
        </w:rPr>
        <w:t>6.2 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80" w:lineRule="exact"/>
        <w:rPr>
          <w:sz w:val="20"/>
          <w:szCs w:val="20"/>
          <w:color w:val="auto"/>
        </w:rPr>
      </w:pPr>
    </w:p>
    <w:p>
      <w:pPr>
        <w:jc w:val="both"/>
        <w:ind w:left="660" w:hanging="323"/>
        <w:spacing w:after="0" w:line="282" w:lineRule="auto"/>
        <w:rPr>
          <w:sz w:val="20"/>
          <w:szCs w:val="20"/>
          <w:color w:val="auto"/>
        </w:rPr>
      </w:pPr>
      <w:r>
        <w:rPr>
          <w:rFonts w:ascii="Times New Roman" w:cs="Times New Roman" w:eastAsia="Times New Roman" w:hAnsi="Times New Roman"/>
          <w:sz w:val="18"/>
          <w:szCs w:val="18"/>
          <w:color w:val="auto"/>
        </w:rPr>
        <w:t>6.3 The Chief Financial Officer of the Corporation shall maintain a record of non-audit services approved by the Chair of the Committee or the Committee for each fiscal year and provide a report to the Committee no less frequently than on a quarterly basis.</w:t>
      </w:r>
    </w:p>
    <w:p>
      <w:pPr>
        <w:spacing w:after="0" w:line="15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172"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Information and Authority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will be granted unrestricted access to all information regarding Bitfarms that is necessary or desirable to fulfill its duties and all directors, officers and employees will be directed to cooperate as requested by Members.</w:t>
      </w:r>
    </w:p>
    <w:p>
      <w:pPr>
        <w:spacing w:after="0" w:line="158"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of Charter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will annually review and assess the adequacy of this Charter and recommend any proposed changes to the Board for consideration.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June 12, 2019</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Revised &amp; Update</w:t>
            </w:r>
          </w:p>
        </w:tc>
        <w:tc>
          <w:tcPr>
            <w:tcW w:w="9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24, 2022</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Revised &amp; Update</w:t>
            </w:r>
          </w:p>
        </w:tc>
        <w:tc>
          <w:tcPr>
            <w:tcW w:w="9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December 11, 2023</w:t>
            </w: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Approved by</w:t>
            </w:r>
          </w:p>
        </w:tc>
        <w:tc>
          <w:tcPr>
            <w:tcW w:w="9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Board of Directors</w:t>
            </w:r>
          </w:p>
        </w:tc>
      </w:tr>
      <w:tr>
        <w:trPr>
          <w:trHeight w:val="648"/>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95 | Page</w:t>
            </w:r>
          </w:p>
        </w:tc>
        <w:tc>
          <w:tcPr>
            <w:tcW w:w="9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1939925</wp:posOffset>
            </wp:positionV>
            <wp:extent cx="2143125" cy="557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431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1663065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6"/>
        </w:trPr>
        <w:tc>
          <w:tcPr>
            <w:tcW w:w="580" w:type="dxa"/>
            <w:vAlign w:val="bottom"/>
            <w:shd w:val="clear" w:color="auto" w:fill="CCEEFF"/>
          </w:tcPr>
          <w:p>
            <w:pPr>
              <w:spacing w:after="0"/>
              <w:rPr>
                <w:sz w:val="20"/>
                <w:szCs w:val="20"/>
                <w:color w:val="auto"/>
              </w:rPr>
            </w:pPr>
          </w:p>
        </w:tc>
        <w:tc>
          <w:tcPr>
            <w:tcW w:w="77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920" w:type="dxa"/>
            <w:vAlign w:val="bottom"/>
            <w:shd w:val="clear" w:color="auto" w:fill="CCEEFF"/>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77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92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rPr>
                <w:sz w:val="15"/>
                <w:szCs w:val="15"/>
                <w:color w:val="auto"/>
              </w:rPr>
            </w:pPr>
          </w:p>
        </w:tc>
        <w:tc>
          <w:tcPr>
            <w:tcW w:w="77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292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rPr>
                <w:sz w:val="15"/>
                <w:szCs w:val="15"/>
                <w:color w:val="auto"/>
              </w:rPr>
            </w:pPr>
          </w:p>
        </w:tc>
        <w:tc>
          <w:tcPr>
            <w:tcW w:w="77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Comprehensive Profit or Loss</w:t>
            </w:r>
          </w:p>
        </w:tc>
        <w:tc>
          <w:tcPr>
            <w:tcW w:w="2920" w:type="dxa"/>
            <w:vAlign w:val="bottom"/>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77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2920" w:type="dxa"/>
            <w:vAlign w:val="bottom"/>
            <w:shd w:val="clear" w:color="auto" w:fill="CCEEFF"/>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580" w:type="dxa"/>
            <w:vAlign w:val="bottom"/>
            <w:tcBorders>
              <w:top w:val="single" w:sz="8" w:color="CCEEFF"/>
            </w:tcBorders>
          </w:tcPr>
          <w:p>
            <w:pPr>
              <w:spacing w:after="0"/>
              <w:rPr>
                <w:sz w:val="15"/>
                <w:szCs w:val="15"/>
                <w:color w:val="auto"/>
              </w:rPr>
            </w:pPr>
          </w:p>
        </w:tc>
        <w:tc>
          <w:tcPr>
            <w:tcW w:w="33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400" w:type="dxa"/>
            <w:vAlign w:val="bottom"/>
            <w:tcBorders>
              <w:top w:val="single" w:sz="8" w:color="CCEEFF"/>
            </w:tcBorders>
            <w:gridSpan w:val="3"/>
          </w:tcPr>
          <w:p>
            <w:pPr>
              <w:spacing w:after="0"/>
              <w:rPr>
                <w:sz w:val="15"/>
                <w:szCs w:val="15"/>
                <w:color w:val="auto"/>
              </w:rPr>
            </w:pPr>
          </w:p>
        </w:tc>
        <w:tc>
          <w:tcPr>
            <w:tcW w:w="2920" w:type="dxa"/>
            <w:vAlign w:val="bottom"/>
            <w:tcBorders>
              <w:top w:val="single" w:sz="8" w:color="CCEEFF"/>
            </w:tcBorders>
          </w:tcPr>
          <w:p>
            <w:pPr>
              <w:jc w:val="center"/>
              <w:ind w:left="18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580" w:type="dxa"/>
            <w:vAlign w:val="bottom"/>
          </w:tcPr>
          <w:p>
            <w:pPr>
              <w:spacing w:after="0" w:line="20" w:lineRule="exact"/>
              <w:rPr>
                <w:sz w:val="1"/>
                <w:szCs w:val="1"/>
                <w:color w:val="auto"/>
              </w:rPr>
            </w:pPr>
          </w:p>
        </w:tc>
        <w:tc>
          <w:tcPr>
            <w:tcW w:w="28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Notes to the Consolidated Financial Statements</w:t>
            </w:r>
          </w:p>
        </w:tc>
        <w:tc>
          <w:tcPr>
            <w:tcW w:w="248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5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Nature of Operations</w:t>
            </w:r>
          </w:p>
        </w:tc>
        <w:tc>
          <w:tcPr>
            <w:tcW w:w="6660" w:type="dxa"/>
            <w:vAlign w:val="bottom"/>
            <w:tcBorders>
              <w:bottom w:val="single" w:sz="8" w:color="CCEEFF"/>
            </w:tcBorders>
            <w:gridSpan w:val="16"/>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3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2480" w:type="dxa"/>
            <w:vAlign w:val="bottom"/>
          </w:tcPr>
          <w:p>
            <w:pPr>
              <w:jc w:val="center"/>
              <w:ind w:left="13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476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Judgments and Estimates</w:t>
            </w:r>
          </w:p>
        </w:tc>
        <w:tc>
          <w:tcPr>
            <w:tcW w:w="3420" w:type="dxa"/>
            <w:vAlign w:val="bottom"/>
            <w:tcBorders>
              <w:top w:val="single" w:sz="8" w:color="CCEEFF"/>
            </w:tcBorders>
            <w:gridSpan w:val="3"/>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6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Acquisitions of Assets</w:t>
            </w:r>
          </w:p>
        </w:tc>
        <w:tc>
          <w:tcPr>
            <w:tcW w:w="6560" w:type="dxa"/>
            <w:vAlign w:val="bottom"/>
            <w:tcBorders>
              <w:bottom w:val="single" w:sz="8" w:color="CCEEFF"/>
            </w:tcBorders>
            <w:gridSpan w:val="14"/>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Cash</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 Receivables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3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Assets</w:t>
            </w:r>
          </w:p>
        </w:tc>
        <w:tc>
          <w:tcPr>
            <w:tcW w:w="6860" w:type="dxa"/>
            <w:vAlign w:val="bottom"/>
            <w:tcBorders>
              <w:top w:val="single" w:sz="8" w:color="CCEEFF"/>
            </w:tcBorders>
            <w:gridSpan w:val="18"/>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6720" w:type="dxa"/>
            <w:vAlign w:val="bottom"/>
            <w:tcBorders>
              <w:top w:val="single" w:sz="8" w:color="CCEEFF"/>
            </w:tcBorders>
            <w:gridSpan w:val="17"/>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2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Intangible Assets</w:t>
            </w:r>
          </w:p>
        </w:tc>
        <w:tc>
          <w:tcPr>
            <w:tcW w:w="5980" w:type="dxa"/>
            <w:vAlign w:val="bottom"/>
            <w:tcBorders>
              <w:top w:val="single" w:sz="8" w:color="CCEEFF"/>
            </w:tcBorders>
            <w:gridSpan w:val="10"/>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Long-term Deposits, Equipment Prepayments, Commitments and Other</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516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3020" w:type="dxa"/>
            <w:vAlign w:val="bottom"/>
            <w:tcBorders>
              <w:top w:val="single" w:sz="8" w:color="CCEEFF"/>
            </w:tcBorders>
            <w:gridSpan w:val="2"/>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Long-term Debt</w:t>
            </w:r>
          </w:p>
        </w:tc>
        <w:tc>
          <w:tcPr>
            <w:tcW w:w="7020" w:type="dxa"/>
            <w:vAlign w:val="bottom"/>
            <w:tcBorders>
              <w:bottom w:val="single" w:sz="8" w:color="CCEEFF"/>
            </w:tcBorders>
            <w:gridSpan w:val="20"/>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Leases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Income Taxes</w:t>
            </w:r>
          </w:p>
        </w:tc>
        <w:tc>
          <w:tcPr>
            <w:tcW w:w="7180" w:type="dxa"/>
            <w:vAlign w:val="bottom"/>
            <w:tcBorders>
              <w:bottom w:val="single" w:sz="8" w:color="CCEEFF"/>
            </w:tcBorders>
            <w:gridSpan w:val="21"/>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Asset Retirement Provision</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Transactions and Balances with Related Parties</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34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Capital Management Policies and Procedures</w:t>
            </w:r>
          </w:p>
        </w:tc>
        <w:tc>
          <w:tcPr>
            <w:tcW w:w="4780" w:type="dxa"/>
            <w:vAlign w:val="bottom"/>
            <w:tcBorders>
              <w:top w:val="single" w:sz="8" w:color="CCEEFF"/>
            </w:tcBorders>
            <w:gridSpan w:val="6"/>
          </w:tcPr>
          <w:p>
            <w:pPr>
              <w:spacing w:after="0"/>
              <w:rPr>
                <w:sz w:val="15"/>
                <w:szCs w:val="15"/>
                <w:color w:val="auto"/>
              </w:rPr>
            </w:pPr>
          </w:p>
        </w:tc>
        <w:tc>
          <w:tcPr>
            <w:tcW w:w="2480" w:type="dxa"/>
            <w:vAlign w:val="bottom"/>
            <w:tcBorders>
              <w:top w:val="single" w:sz="8" w:color="CCEEFF"/>
            </w:tcBorders>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8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Subsidiaries</w:t>
            </w:r>
          </w:p>
        </w:tc>
        <w:tc>
          <w:tcPr>
            <w:tcW w:w="7300" w:type="dxa"/>
            <w:vAlign w:val="bottom"/>
            <w:tcBorders>
              <w:bottom w:val="single" w:sz="8" w:color="CCEEFF"/>
            </w:tcBorders>
            <w:gridSpan w:val="24"/>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Net Earnings (Loss) Per Share</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1"/>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16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Share-based Payments</w:t>
            </w:r>
          </w:p>
        </w:tc>
        <w:tc>
          <w:tcPr>
            <w:tcW w:w="6560" w:type="dxa"/>
            <w:vAlign w:val="bottom"/>
            <w:tcBorders>
              <w:bottom w:val="single" w:sz="8" w:color="CCEEFF"/>
            </w:tcBorders>
            <w:gridSpan w:val="14"/>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81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2480" w:type="dxa"/>
            <w:vAlign w:val="bottom"/>
            <w:shd w:val="clear" w:color="auto" w:fill="CCEEFF"/>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81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2480" w:type="dxa"/>
            <w:vAlign w:val="bottom"/>
          </w:tcPr>
          <w:p>
            <w:pPr>
              <w:jc w:val="center"/>
              <w:ind w:left="141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814070" cy="6083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the Board of Directors and Shareholders of Bitfarms Ltd.</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Bitfarms Ltd. and its subsidiaries (together, the Company) as of December 31, 2023 and 2022, and the related consolidated statements of profit or loss and comprehensive profit or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its financial performance and its cash flows for the years then ended in conformity with International Financial Reporting Standards as issued by the International Accounting Standards Board.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Restatement of Previously Issued Financial Statements</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discussed in Note 3(e) to the consolidated financial statements, the Company has restated its 2022 financial statements to correct errors.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March 6, 2024</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Tower, 18 York Street, Suite 2500, Toronto, Ontario, Canada M5J 0B2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+1 416 863 1133, F: +1 416 365 8215, ca_toronto_18_york_fax@pwc.com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“PwC” refers to PricewaterhouseCoopers LLP, an Ontario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January 1,</w:t>
            </w:r>
          </w:p>
        </w:tc>
      </w:tr>
      <w:tr>
        <w:trPr>
          <w:trHeight w:val="209"/>
        </w:trPr>
        <w:tc>
          <w:tcPr>
            <w:tcW w:w="2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r>
      <w:tr>
        <w:trPr>
          <w:trHeight w:val="191"/>
        </w:trPr>
        <w:tc>
          <w:tcPr>
            <w:tcW w:w="30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1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714</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4,512</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6,393</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12,921</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12,142</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31,870</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66,031</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9, 17</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2,101</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86,825</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0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1,388</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129,984</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69,088</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287,127</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13, 29</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16,364</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r>
      <w:tr>
        <w:trPr>
          <w:trHeight w:val="216"/>
        </w:trPr>
        <w:tc>
          <w:tcPr>
            <w:tcW w:w="48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44,714</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38,185</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86,681</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3,700</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16,955</w:t>
            </w:r>
          </w:p>
        </w:tc>
      </w:tr>
      <w:tr>
        <w:trPr>
          <w:trHeight w:val="229"/>
        </w:trPr>
        <w:tc>
          <w:tcPr>
            <w:tcW w:w="300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18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3,896</w:t>
            </w:r>
          </w:p>
        </w:tc>
      </w:tr>
      <w:tr>
        <w:trPr>
          <w:trHeight w:val="230"/>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343,098</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20,739</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20,541</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43,054</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2,857</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3,649</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1,110</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12,093</w:t>
            </w:r>
          </w:p>
        </w:tc>
      </w:tr>
      <w:tr>
        <w:trPr>
          <w:trHeight w:val="230"/>
        </w:trPr>
        <w:tc>
          <w:tcPr>
            <w:tcW w:w="3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10, 21</w:t>
            </w: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40,426</w:t>
            </w: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63,575</w:t>
            </w:r>
          </w:p>
        </w:tc>
      </w:tr>
      <w:tr>
        <w:trPr>
          <w:trHeight w:val="209"/>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69,154</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67,413</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164,753</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12,993</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9,227</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3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8,451</w:t>
            </w:r>
          </w:p>
        </w:tc>
      </w:tr>
      <w:tr>
        <w:trPr>
          <w:trHeight w:val="230"/>
        </w:trPr>
        <w:tc>
          <w:tcPr>
            <w:tcW w:w="3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83,963</w:t>
            </w:r>
          </w:p>
        </w:tc>
        <w:tc>
          <w:tcPr>
            <w:tcW w:w="1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87,700</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183,580</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530,123</w:t>
            </w:r>
          </w:p>
        </w:tc>
        <w:tc>
          <w:tcPr>
            <w:tcW w:w="1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404,934</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354,707</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1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14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47,653</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25,845</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2,941</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(294,924)</w:t>
            </w:r>
          </w:p>
        </w:tc>
        <w:tc>
          <w:tcPr>
            <w:tcW w:w="1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(197,189)</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(21,545)</w:t>
            </w:r>
          </w:p>
        </w:tc>
      </w:tr>
      <w:tr>
        <w:trPr>
          <w:trHeight w:val="223"/>
        </w:trPr>
        <w:tc>
          <w:tcPr>
            <w:tcW w:w="3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255,398</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359,007</w:t>
            </w:r>
          </w:p>
        </w:tc>
      </w:tr>
      <w:tr>
        <w:trPr>
          <w:trHeight w:val="230"/>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343,098</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r>
      <w:tr>
        <w:trPr>
          <w:trHeight w:val="432"/>
        </w:trPr>
        <w:tc>
          <w:tcPr>
            <w:tcW w:w="7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45"/>
        </w:trPr>
        <w:tc>
          <w:tcPr>
            <w:tcW w:w="3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March 6, 2024</w:t>
            </w:r>
          </w:p>
        </w:tc>
        <w:tc>
          <w:tcPr>
            <w:tcW w:w="18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i w:val="1"/>
                <w:iCs w:val="1"/>
                <w:color w:val="auto"/>
                <w:w w:val="99"/>
              </w:rPr>
              <w:t>/s/ Nicolas Bonta</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/s/ Geoffrey Morphy</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/s/ Jeffrey Lucas</w:t>
            </w:r>
          </w:p>
        </w:tc>
      </w:tr>
      <w:tr>
        <w:trPr>
          <w:trHeight w:val="187"/>
        </w:trPr>
        <w:tc>
          <w:tcPr>
            <w:tcW w:w="2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Date of approval of the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2"/>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Chairman of the Board of</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President &amp; Chief Executive</w:t>
            </w:r>
          </w:p>
        </w:tc>
        <w:tc>
          <w:tcPr>
            <w:tcW w:w="120" w:type="dxa"/>
            <w:vAlign w:val="bottom"/>
          </w:tcPr>
          <w:p>
            <w:pPr>
              <w:spacing w:after="0"/>
              <w:rPr>
                <w:sz w:val="16"/>
                <w:szCs w:val="16"/>
                <w:color w:val="auto"/>
              </w:rPr>
            </w:pPr>
          </w:p>
        </w:tc>
        <w:tc>
          <w:tcPr>
            <w:tcW w:w="2680" w:type="dxa"/>
            <w:vAlign w:val="bottom"/>
            <w:tcBorders>
              <w:top w:val="single" w:sz="8" w:color="auto"/>
            </w:tcBorders>
            <w:gridSpan w:val="2"/>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3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financial statements</w:t>
            </w:r>
          </w:p>
        </w:tc>
        <w:tc>
          <w:tcPr>
            <w:tcW w:w="18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COMPREHENSIVE PROFIT OR LOSS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per share amounts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9, 29</w:t>
            </w:r>
          </w:p>
        </w:tc>
        <w:tc>
          <w:tcPr>
            <w:tcW w:w="1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142,428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28</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131,910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9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28</w:t>
            </w: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9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w:t>
            </w:r>
          </w:p>
        </w:tc>
        <w:tc>
          <w:tcPr>
            <w:tcW w:w="1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9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w:t>
            </w: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1,778</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equipment and</w:t>
            </w: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prepayments, property, plant and equipment and</w:t>
            </w:r>
          </w:p>
        </w:tc>
        <w:tc>
          <w:tcPr>
            <w:tcW w:w="19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12</w:t>
            </w:r>
          </w:p>
        </w:tc>
        <w:tc>
          <w:tcPr>
            <w:tcW w:w="1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90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9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12</w:t>
            </w:r>
          </w:p>
        </w:tc>
        <w:tc>
          <w:tcPr>
            <w:tcW w:w="1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28</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9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9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9</w:t>
            </w: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9,242</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9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(94,794)</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9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26</w:t>
            </w: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(0.40)</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9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26</w:t>
            </w:r>
          </w:p>
        </w:tc>
        <w:tc>
          <w:tcPr>
            <w:tcW w:w="1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262,237,000</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207,776,000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number of shares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87"/>
        </w:trPr>
        <w:tc>
          <w:tcPr>
            <w:tcW w:w="3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(restated - Note 3e)</w:t>
            </w:r>
          </w:p>
        </w:tc>
        <w:tc>
          <w:tcPr>
            <w:tcW w:w="9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224,200,000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404,934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47,653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(197,189)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255,398</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9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9,242</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(94,794)</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w:t>
            </w: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of digital assets to</w:t>
            </w:r>
          </w:p>
        </w:tc>
        <w:tc>
          <w:tcPr>
            <w:tcW w:w="960" w:type="dxa"/>
            <w:vAlign w:val="bottom"/>
          </w:tcPr>
          <w:p>
            <w:pPr>
              <w:spacing w:after="0"/>
              <w:rPr>
                <w:sz w:val="18"/>
                <w:szCs w:val="18"/>
                <w:color w:val="auto"/>
              </w:rPr>
            </w:pPr>
          </w:p>
        </w:tc>
        <w:tc>
          <w:tcPr>
            <w:tcW w:w="13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6,301</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(6,301)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net of tax</w:t>
            </w:r>
          </w:p>
        </w:tc>
        <w:tc>
          <w:tcPr>
            <w:tcW w:w="9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97,386,000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93,901</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93,901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21, 27</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12,317,000</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30,596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29,342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9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334,153,000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530,123</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(294,924)</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(restated - Note 3e)</w:t>
            </w:r>
          </w:p>
        </w:tc>
        <w:tc>
          <w:tcPr>
            <w:tcW w:w="9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194,806,000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354,707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25,845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(21,545)</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359,007</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(175,644)</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21,788</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29,324,000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54,086</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54,121</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expense related to equity</w:t>
            </w:r>
          </w:p>
        </w:tc>
        <w:tc>
          <w:tcPr>
            <w:tcW w:w="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21, 27</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70,000</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7"/>
        </w:trPr>
        <w:tc>
          <w:tcPr>
            <w:tcW w:w="3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(restated - Note 3e)</w:t>
            </w:r>
          </w:p>
        </w:tc>
        <w:tc>
          <w:tcPr>
            <w:tcW w:w="9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224,200,000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404,934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47,653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(197,189)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2"/>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28</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 deposits, equipment and</w:t>
            </w: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prepayments, property, plant and equipment and</w:t>
            </w:r>
          </w:p>
        </w:tc>
        <w:tc>
          <w:tcPr>
            <w:tcW w:w="19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192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28</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earned</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129,309</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158,674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27</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19</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1,778</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financial expenses paid</w:t>
            </w:r>
          </w:p>
        </w:tc>
        <w:tc>
          <w:tcPr>
            <w:tcW w:w="19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(12,136)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refunded (paid)</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11,590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w:t>
            </w: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1,235</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9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23,598</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92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(48,436)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(153,138)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3,111</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28</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(36,262)</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28</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48,507</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202,379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of assets</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5</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(2,394)</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 purchased</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9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(22,869)</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(58,343)</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109,074</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(30,545)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17</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18</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(3,634)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21, 27</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12,983</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92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19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87,878</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24,010</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1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53,133</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(94,751)</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year</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2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9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18</w:t>
            </w:r>
          </w:p>
        </w:tc>
        <w:tc>
          <w:tcPr>
            <w:tcW w:w="2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9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on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mainly consist of selling its computational power used for hashing calculations for the purpose of cryptocurrency mining in multiple jurisdictions as described in Note 29 “Geographical Information”. The Company’s operations are currently located in Canada, the United States, Argentina and Paraguay. Volta, a wholly-owned subsidiary of the Company, assists the Company in building and maintaining its server farms and provides electrician services to both commercial and residential customers in Quebec.</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which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in BTC on a daily basis. Bitfarms accumulates the cryptocurrency fees it receives or exchanges them for U.S. dollars through reputable and established cryptocurrency trading platforms.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8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Volta</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Argentina</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Paraguay</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Mining</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Orion</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Orion Constellation Technologies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BTC</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Bitcoin</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BVVE</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Blockchain Verification and Validation Equipment (primarily Miners)</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2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CAD</w:t>
            </w:r>
          </w:p>
        </w:tc>
        <w:tc>
          <w:tcPr>
            <w:tcW w:w="78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USD</w:t>
            </w:r>
          </w:p>
        </w:tc>
        <w:tc>
          <w:tcPr>
            <w:tcW w:w="78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U.S. Dollars</w:t>
            </w:r>
          </w:p>
        </w:tc>
      </w:tr>
      <w:tr>
        <w:trPr>
          <w:trHeight w:val="216"/>
        </w:trPr>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29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ARS</w:t>
            </w:r>
          </w:p>
        </w:tc>
        <w:tc>
          <w:tcPr>
            <w:tcW w:w="78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cryptocurrency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have impacted the recoverability of the Company’s digital assets and property, plant and equipment, resulting in impairment losses being recorded.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indicate that the Company will generate positive cash flow in excess of the Company’s cash commitments within the twelve-month period. These analyses are based on BTC market factors including price, difficulty and network hashrate, for the twelve-month period following the date these consolidated financial statements were authorized for issuance.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next BTC Halving is expected to occur in April 2024, at which time BTC block rewards will decrease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any sale of its BTC treasury and BTC earned may not be sufficient to fund capital investments to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may be diluted. If the Company is unable to obtain financing from external sources or issuing securities, or if funds from operations and proceeds from any sale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consolidated financial statements for all periods presented unless otherwise stated.</w:t>
      </w:r>
    </w:p>
    <w:p>
      <w:pPr>
        <w:spacing w:after="0" w:line="22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of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International Financial Reporting Standards as issued by the International Accounting Standards Board (“IFRS Accounting Standards”). These consolidated financial statements were approved and authorized for issue by the Board of Directors on March 6,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cost basis, except for derivative financial instruments and digital assets that are measured at fair value. The consolidated financial statements are presented in U.S. dollars and all values are rounded to the nearest thousand, except where otherwise indicated.</w:t>
      </w:r>
    </w:p>
    <w:p>
      <w:pPr>
        <w:spacing w:after="0" w:line="17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present the profit or loss items using the function of expense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cycle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cycle of the Company is to exchange computational power used for hashing calculations for digital assets and then routinely deposit them into custody, or convert them to fiat currency as needed. The Company’s activities have a one-year operating cycle. Accordingly, the assets and liabilities are classified in the statement of financial position as current assets and liabilities based on the Company’s operating 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Goodwill is initially measured at cost (being the excess of the aggregate of the consideration transferred and the amount recognized for non-controlling interests and any previous interest held over the fair value of the net identifiable assets acquired and liabilities assumed).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initial recognition, goodwill is measured at cost less any accumulated impairment losses. For the purpose of impairment testing, goodwill acquired in a business combination is, from the acquisition date, allocated to each of the Company’s cash-generating units (“CGUs”) or group of CGUs that are expected to benefit from the combination, irrespective of whether other assets or liabilities of the acquiree are assigned to those units.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CGU or group of CGUs to which goodwill has been allocated are tested for impairment annually or more frequently when there is an indication that the CGU or group of CGUs may be impaired. If the recoverable amount of the CGU or group of CGUs is less than its carrying amount, the impairment loss is allocated first to reduce the carrying amount of any goodwill allocated to the CGU or group of CGUs and then to the other assets of the CGU or group of CGUs on a pro-rata basis of the carrying amount of each asset in the CGU or group of CGUs. An impairment loss recognized for goodwill is not reversed in a subsequent period. The Company has designated December 31 as the date for its annual impairment test.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Functional currency and presentation currency</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are presented in U.S. Dollars, which is the functional currency of the parent company, as well as the functional currency of Backbone, Backbone Argentina, Backbone Paraguay, Backbone Mining and Orion. The functional currency is the currency that best reflects the economic environment in which the Company operates and conducts its transactions.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determines the functional currency of each subsidiary. Volta, a Canadian subsidiary, has a Canadian functional currency, and, as such, assets and liabilities are translated using the exchange rate in effect at each reporting date. Revenues and expenses are translated using the average exchange rates in effect for all periods presented. The resulting translation differences are included in other comprehensive income. The translation differences on foreign currency translation of Volta were immaterial for the years ended December 31, 2023 and December 31, 2022.</w:t>
      </w:r>
    </w:p>
    <w:p>
      <w:pPr>
        <w:spacing w:after="0" w:line="17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Transactions, assets and liabilities in foreign currency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sale of computational power used for hashing calculations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entered into arrangements with a Mining pool and has undertaken the performance obligation of providing computing power used for hashing calculations to the Mining pool in exchange for non-cash consideration in the form of cryptocurrency, which is variable consideration. The cryptocurrency earnings are calculated based on a formula which, in turn, is based on the hashrate contributed by the Company's provided computing power used for hashing calculations allocated to the Mining pool, assessed over a 24-hour period, and distributed daily based on the FPPS methodology.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and the estimated (i) block subsidies and (ii) daily average transaction fees which the Mining Pool expects to earn, less (iii) a Mining pool discount.</w:t>
      </w:r>
    </w:p>
    <w:p>
      <w:pPr>
        <w:spacing w:after="0" w:line="193" w:lineRule="exact"/>
        <w:rPr>
          <w:sz w:val="20"/>
          <w:szCs w:val="20"/>
          <w:color w:val="auto"/>
        </w:rPr>
      </w:pPr>
    </w:p>
    <w:p>
      <w:pPr>
        <w:jc w:val="both"/>
        <w:ind w:firstLine="8"/>
        <w:spacing w:after="0" w:line="261" w:lineRule="auto"/>
        <w:tabs>
          <w:tab w:leader="none" w:pos="2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fee paid out by the Mining pool operator to the Company is further calculated by dividing (a) the total amount of transaction fees that are actually generated on the BTC network as a whole less the 3 largest and 3 smallest transactions per block, by (b) the total amount of block subsidies that are actually generated on the BTC network as a whole, multiplied by (c) the Company’s fee earned as calculated in (i) above. The Company is entitled to its relative share of consideration even if a block is not successfully added to the blockchain by the mining pool.</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3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discount refers to the discount applied to the total FPPS payout otherwise attributed to computing power service providers for their sale of computing power used for hashing calculations as defined in the rate schedule of the agreement with the Mining pool operator.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entitled to the fee from the Mining Pool as calculated above regardless of the actual performance of the Mining Pool operator. Therefore, even if the Mining Pool does not successfully add any block to the blockchain in a given contract period, the fee remains payable by the Mining Pool to the Company. Accordingly, the Company is not sharing in the earnings of the Mining pool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Revenues from sale of computational power used for hashing calculations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cryptocurrency earned is received in full and can be paid in fractions of cryptocurrency. Revenues from providing cryptocurrency computational power used for hashing calculations are recognized upon delivery of the service over a 24-hour period, which generally coincides with the receipt of crypto assets in exchange for the provision of computational power used for hashing calculations and the contract inception date. The Company updates the estimated transaction price of the non-cash consideration received at its fair market value. Management estimates fair value daily based on the quantity of cryptocurrency received multiplied by the price quoted from Coinbase Inc. (“Coinbase”) on the day it was received. Management considers the prices quoted on Coinbase to be a level 1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from electrical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through Volta, sells electrical components and provides electrician installation of those components as well as repair and maintenance services. Revenues are recognized according to the stage of completion of the transaction as of the balance sheet date. The stage of completion is estimated based on the costs incurred for the transaction compared to the estimated cost of completion for the project. Under this method, revenues are recognized in the reporting period in which the services are provided. In the event that the outcome of the contract cannot be measured reliably, the revenues are recognized to the extent of the recoverable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Cryptocurrency on hand at the end of a reporting period, if any, is classified as digital assets, and is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as an intangible asset with an indefinite useful life initially measured at cost, deemed to be the fair value upon receipt as described above, and subsequently measured under the revaluation model. Under the revaluation model, increases in the cryptocurrency’s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cryptocurrency is sold, the revaluation increase related to it is transferred from revaluation surplus to retained earnings. The Company revalues its cryptocurrency on hand on a monthly basis and following any significant fair value fluctuations. The fair value of cryptocurrency on hand at the end of the reporting period is calculated as the quantity of cryptocurrency on hand multiplied by the price quoted on Coinbase as of the reporting date.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the Company expects to realize the digital asset within twelve months after the reporting period. The Company presents cryptocurrency pledged as collateral separate from unencumbered cryptocurrency.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year comprises current and deferred taxes. These taxes are recognized in profit or loss except to the extent they relate to items which are recognized in other comprehensive income or loss or directly in shareholders’ equity.</w:t>
      </w:r>
    </w:p>
    <w:p>
      <w:pPr>
        <w:spacing w:after="0" w:line="17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taxes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by the reporting date as well as adjustments required in connection with tax liabilities in respect of previous years.</w:t>
      </w:r>
    </w:p>
    <w:p>
      <w:pPr>
        <w:spacing w:after="0" w:line="17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the disposal of investments in investees have not been taken into account in computing deferred taxes as long as the disposal of the investments in investees is not probable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The determination is based on whether the contract conveys the right to control the use of an identified asset for a period of time in exchange for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a lessee applies a single recognition and measurement approach for all leases except for short-term leases and leases of low-value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liabilities to make lease payments and right-of-use assets (“ROU assets”) representing the right to use the underlying assets.</w:t>
      </w:r>
    </w:p>
    <w:p>
      <w:pPr>
        <w:spacing w:after="0" w:line="20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ROU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ROU assets at the commencement date of the lease (i.e., the date the underlying asset is available for use). ROU assets are measured at cost, less any accumulated depreciation and impairment losses, and adjusted for any remeasurement of lease liabilities. The cost of ROU assets includes the amount of lease liabilities recognized, initial direct costs incurred, and lease payments made at or before the commencement date less any lease incentives received. ROU assets are depreciated over the shorter of the lease term and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4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6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Straight-line</w:t>
            </w:r>
          </w:p>
        </w:tc>
        <w:tc>
          <w:tcPr>
            <w:tcW w:w="4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4-10 years</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Straight-line</w:t>
            </w:r>
          </w:p>
        </w:tc>
        <w:tc>
          <w:tcPr>
            <w:tcW w:w="46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 and Electrical components</w:t>
            </w:r>
          </w:p>
        </w:tc>
        <w:tc>
          <w:tcPr>
            <w:tcW w:w="34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Sum of years</w:t>
            </w:r>
          </w:p>
        </w:tc>
        <w:tc>
          <w:tcPr>
            <w:tcW w:w="46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ownership of the leased asset transfers to the Company at the end of the lease term or the cost reflects the exercise of a purchase option, the asset is depreciated over the estimated useful life of the asset and is classified with property plant and equipment. Refer to the accounting policies of property, plant and equipment in this note. The ROU assets are also subject to impairment. Refer to the accounting policies of Impairment of non-financial assets in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liabilities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commencement date of the lease, the Company recognizes lease liabilities measured at the present value of lease payments to be made over the lease term. The lease payments include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in the period in which the event or condition that triggers the payment occurs.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leases and leases of low value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to its short-term leases of machinery, equipment and farming facilities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an expense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 assets are no longer depreciated and are presented separately as current assets at the lower of their carrying amount and fair value less costs to sell. The gain or loss on disposition of assets held for sale will be presented separately in other comprehensive income (loss) only when it qualifies as part of discontinued operations.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includes the initial estimate of the costs of dismantling and removing the item and restoring the site on which the item is located.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53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Sum of years</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Mineral assets *</w:t>
            </w:r>
          </w:p>
        </w:tc>
        <w:tc>
          <w:tcPr>
            <w:tcW w:w="3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5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equipment</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Sum of years</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5 years</w:t>
            </w: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280" w:type="dxa"/>
            <w:vAlign w:val="bottom"/>
          </w:tcPr>
          <w:p>
            <w:pPr>
              <w:ind w:left="780"/>
              <w:spacing w:after="0" w:line="198" w:lineRule="exact"/>
              <w:rPr>
                <w:sz w:val="20"/>
                <w:szCs w:val="20"/>
                <w:color w:val="auto"/>
              </w:rPr>
            </w:pPr>
            <w:r>
              <w:rPr>
                <w:rFonts w:ascii="Times New Roman" w:cs="Times New Roman" w:eastAsia="Times New Roman" w:hAnsi="Times New Roman"/>
                <w:sz w:val="18"/>
                <w:szCs w:val="18"/>
                <w:color w:val="auto"/>
              </w:rPr>
              <w:t>Straight-line</w:t>
            </w:r>
          </w:p>
        </w:tc>
        <w:tc>
          <w:tcPr>
            <w:tcW w:w="5360" w:type="dxa"/>
            <w:vAlign w:val="bottom"/>
          </w:tcPr>
          <w:p>
            <w:pPr>
              <w:ind w:left="880"/>
              <w:spacing w:after="0" w:line="198" w:lineRule="exact"/>
              <w:rPr>
                <w:sz w:val="20"/>
                <w:szCs w:val="20"/>
                <w:color w:val="auto"/>
              </w:rPr>
            </w:pPr>
            <w:r>
              <w:rPr>
                <w:rFonts w:ascii="Times New Roman" w:cs="Times New Roman" w:eastAsia="Times New Roman" w:hAnsi="Times New Roman"/>
                <w:sz w:val="18"/>
                <w:szCs w:val="18"/>
                <w:color w:val="auto"/>
              </w:rPr>
              <w:t>Shorter of the lease term and the expected life of the</w:t>
            </w:r>
          </w:p>
        </w:tc>
      </w:tr>
      <w:tr>
        <w:trPr>
          <w:trHeight w:val="234"/>
        </w:trPr>
        <w:tc>
          <w:tcPr>
            <w:tcW w:w="2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improvement</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Declining balance</w:t>
            </w:r>
          </w:p>
        </w:tc>
        <w:tc>
          <w:tcPr>
            <w:tcW w:w="5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2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Declining balance</w:t>
            </w:r>
          </w:p>
        </w:tc>
        <w:tc>
          <w:tcPr>
            <w:tcW w:w="5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From the acquisition of mineral assets in 2018 until their disposal during the year ended December 31, 2023, there has been no production.</w:t>
      </w:r>
    </w:p>
    <w:p>
      <w:pPr>
        <w:spacing w:after="0" w:line="225"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depreciation method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3/15</w:t>
            </w:r>
          </w:p>
        </w:tc>
        <w:tc>
          <w:tcPr>
            <w:tcW w:w="1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2/15</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33.33%</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13.33%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Intangible assets consist of acquired software, access rights to electricity, and a below market lease acquired in a business combination used in the Company’s cryptocurrency Mining operations. Intangible assets acquired separately are initially measured at cost plus direct acquisition costs. Intangible assets acquired in business combinations are measured at their fair value as of the acquisition date.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other than access rights to electricity and favorable lease, with a finite useful life are amortized over their useful lives using the sum of years method. Access rights to electricity and favorable leases are amortized using the straight-line method over the lease term of the facility or the access rights period. Intangible assets are reviewed for impairment whenever there is an indication that the asset may be impaired. The amortization period and the amortization method for an intangible asset are reviewed at least at each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Amortization Method</w:t>
            </w:r>
          </w:p>
        </w:tc>
        <w:tc>
          <w:tcPr>
            <w:tcW w:w="5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software</w:t>
            </w:r>
          </w:p>
        </w:tc>
        <w:tc>
          <w:tcPr>
            <w:tcW w:w="3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Sum of years</w:t>
            </w:r>
          </w:p>
        </w:tc>
        <w:tc>
          <w:tcPr>
            <w:tcW w:w="5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Access rights to electricity</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Straight-line</w:t>
            </w:r>
          </w:p>
        </w:tc>
        <w:tc>
          <w:tcPr>
            <w:tcW w:w="5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Lease term of the facility or the access rights period</w:t>
            </w:r>
          </w:p>
        </w:tc>
      </w:tr>
      <w:tr>
        <w:trPr>
          <w:trHeight w:val="223"/>
        </w:trPr>
        <w:tc>
          <w:tcPr>
            <w:tcW w:w="2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Favorable lease</w:t>
            </w:r>
          </w:p>
        </w:tc>
        <w:tc>
          <w:tcPr>
            <w:tcW w:w="32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Straight-line</w:t>
            </w:r>
          </w:p>
        </w:tc>
        <w:tc>
          <w:tcPr>
            <w:tcW w:w="53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196"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Systems software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years amortization method for systems software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2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5</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w:t>
            </w:r>
          </w:p>
        </w:tc>
        <w:tc>
          <w:tcPr>
            <w:tcW w:w="30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5/15</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3/15</w:t>
            </w:r>
          </w:p>
        </w:tc>
        <w:tc>
          <w:tcPr>
            <w:tcW w:w="13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2/15</w:t>
            </w:r>
          </w:p>
        </w:tc>
        <w:tc>
          <w:tcPr>
            <w:tcW w:w="12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1/15</w:t>
            </w:r>
          </w:p>
        </w:tc>
      </w:tr>
      <w:tr>
        <w:trPr>
          <w:trHeight w:val="250"/>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33.33%</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13.33%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6"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Access rights to electricity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access rights to electricity were obtained from the acquisitions of assets described in Note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decision-maker, who is responsible for allocating resources and assessing the performance of the operating segments, and which has been identified as the Management team that makes strategic decisions.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CGU to which the asset belongs. Impairment losses are recognized in profit or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impairment loss of an asset, other than goodwill, is reversed only if there have been changes in the estimates used to determine the asset’s recoverable amount since the last impairment loss was recognized. Reversal of an impairment loss, as noted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31"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assets are initially measured at fair value plus transaction costs that can be directly attributed to the acquisition of the financial asset, except in the case of a financial asset measured at fair value through profit or loss in respect of which transaction costs are charged to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presented at amortized cost are subsequently measured using the effective interest rate method and are subject to impairment. Gains and losses are recognized in profit or loss when the asset is derecognized, modified or impaired. The Company’s financial assets at amortized cost includes trade receivables and certain items included in other assets. Net changes in financial assets measured at fair value are recognized in the statement of profit or loss. The Company’s financial assets at fair value include derivative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trade receivables, the Company applies a simplified approach in calculating ECLs. Therefore, the Company does not track changes in credit risk, but instead recognizes a loss allowance based on lifetime ECLs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a provision matrix that is based on its historical credit loss experience, adjusted for forward-looking factors specific to the debtors and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accrued liabilities, warrant liabilities and long-term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liabilities are either measured at fair value through profit or loss or at amortized cost. Financial liabilities measured at fair value through profit or loss included warrant liabilities relating to the private placement described in Note 3e, 10 and 21. After initial recognition, interest-bearing loans and borrowings are subsequently measured at amortized cost using the effective interest rate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spacing w:after="0" w:line="188"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receive the cash flows from the financial asset expire, or when the Company transfers the contractual rights to a third party to receive the cash flows from the financial asset or assumes an obligation to pay the cash flows received in full to a third party without significant delay.</w:t>
      </w:r>
    </w:p>
    <w:p>
      <w:pPr>
        <w:spacing w:after="0" w:line="18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liabilities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liabilities are derecognized when they are extinguished, which occurs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spacing w:after="0" w:line="184"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entered into BTC option contracts to reduce the risk of variability of cash flows resulting from future sales of digital assets. Each BTC option contract meets the definition of a cash flow hedge as per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(“IFRS 9”). IFRS 9 provides a non-compulsory accounting policy choice of hedge accounting. The Company elected to not apply hedge accounting on BTC option contracts. The changes in the fair value of the derivatives are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17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or whose fair value is disclosed are classified into categories within the fair value hierarchy, based on the lowest level input that is significant to the overall fair value 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4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0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Unadjusted quoted prices in an active market of identical assets and liabilities</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0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Non-quoted prices included in Level 1 that are either directly or indirectly observable</w:t>
            </w:r>
          </w:p>
        </w:tc>
      </w:tr>
      <w:tr>
        <w:trPr>
          <w:trHeight w:val="223"/>
        </w:trPr>
        <w:tc>
          <w:tcPr>
            <w:tcW w:w="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04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Data that is not based on observable market information, such as valuation techniques without the use of observable market data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provisions relate to Backbone and Backbone Argentina’s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settled with equity instruments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cost of employee services paid in equity instruments is measured at the fair value of the equity instruments as of the grant date. The fair value is determined using a generally accepted option pricing model. Equity settled transactions with other services providers are measured at the fair value of the goods or services received in return for the equity instruments. The cost of equity-settled transactions is recognized in profit or loss together with a corresponding increase in contributed surplus during the period in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related to grants that do not vest are not recognized. Grants where the fair value is determined at the date of the grant based on non-vesting market conditions are treated as vested, assuming all other vesting conditions (service and/or performance) are met.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modifies the terms of equity-settled transactions, an additional expense is recognized on the date of the modification and is calculated as the increase in the fair value of the compensation granted in excess of the original expense.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issue of a unit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 represents the amount received on the issuance of shares, less issuance costs (net of tax).</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Fair value is then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as of January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Amendments to IAS 1 change the requirements in IAS 1 with regard to disclosure of accounting policies. Applying the amendments, an entity discloses its material accounting policy information instead of its significant accounting policies. Further amendments to IAS 1 explain how an entity can identify material accounting policy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8, </w:t>
      </w:r>
      <w:r>
        <w:rPr>
          <w:rFonts w:ascii="Times New Roman" w:cs="Times New Roman" w:eastAsia="Times New Roman" w:hAnsi="Times New Roman"/>
          <w:sz w:val="18"/>
          <w:szCs w:val="18"/>
          <w:b w:val="1"/>
          <w:bCs w:val="1"/>
          <w:i w:val="1"/>
          <w:iCs w:val="1"/>
          <w:color w:val="auto"/>
        </w:rPr>
        <w:t>Accounting Policies, Changes in Accounting Estimates and Errors</w:t>
      </w:r>
      <w:r>
        <w:rPr>
          <w:rFonts w:ascii="Times New Roman" w:cs="Times New Roman" w:eastAsia="Times New Roman" w:hAnsi="Times New Roman"/>
          <w:sz w:val="18"/>
          <w:szCs w:val="18"/>
          <w:b w:val="1"/>
          <w:bCs w:val="1"/>
          <w:color w:val="auto"/>
        </w:rPr>
        <w:t xml:space="preserve"> (“IAS 8”)</w:t>
      </w:r>
    </w:p>
    <w:p>
      <w:pPr>
        <w:spacing w:after="0" w:line="31" w:lineRule="exact"/>
        <w:rPr>
          <w:sz w:val="20"/>
          <w:szCs w:val="20"/>
          <w:color w:val="auto"/>
        </w:rPr>
      </w:pPr>
    </w:p>
    <w:p>
      <w:pPr>
        <w:jc w:val="both"/>
        <w:ind w:hanging="4"/>
        <w:spacing w:after="0" w:line="260" w:lineRule="auto"/>
        <w:rPr>
          <w:sz w:val="20"/>
          <w:szCs w:val="20"/>
          <w:color w:val="auto"/>
        </w:rPr>
      </w:pPr>
      <w:r>
        <w:rPr>
          <w:rFonts w:ascii="Times New Roman" w:cs="Times New Roman" w:eastAsia="Times New Roman" w:hAnsi="Times New Roman"/>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to be adopted at a later date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Amendments to IAS 1</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consolidated financial statements,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Restatement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identified errors in its accounting for warrants issued in connection with certain private placement financings in 2021. The warrants are convertible for a fixed number of common shares of the Company but have a contingent cashless exercise clause, which results in a classification as a financial liability and measurement at fair value through profit and loss, not equity.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effects of the restatement on the affected financial statement line items for the prior periods are as follows: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extract as of January 1, 2022 -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As of December 31,</w:t>
            </w: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January 1,</w:t>
            </w:r>
          </w:p>
        </w:tc>
      </w:tr>
      <w:tr>
        <w:trPr>
          <w:trHeight w:val="210"/>
        </w:trPr>
        <w:tc>
          <w:tcPr>
            <w:tcW w:w="4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 (as reported)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Adjustments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r>
      <w:tr>
        <w:trPr>
          <w:trHeight w:val="191"/>
        </w:trPr>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4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4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63,575</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101,178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164,753</w:t>
            </w:r>
          </w:p>
        </w:tc>
      </w:tr>
      <w:tr>
        <w:trPr>
          <w:trHeight w:val="230"/>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120,005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183,580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378,893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354,707</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43,704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(17,859)</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25,845</w:t>
            </w:r>
          </w:p>
        </w:tc>
      </w:tr>
      <w:tr>
        <w:trPr>
          <w:trHeight w:val="229"/>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(21,545)</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422,582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359,007</w:t>
            </w:r>
          </w:p>
        </w:tc>
      </w:tr>
      <w:tr>
        <w:trPr>
          <w:trHeight w:val="230"/>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542,587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542,587</w:t>
            </w:r>
          </w:p>
        </w:tc>
      </w:tr>
      <w:tr>
        <w:trPr>
          <w:trHeight w:val="432"/>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extract as of December 31, 2022 - Restatement</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43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of December 31,</w:t>
            </w:r>
          </w:p>
        </w:tc>
        <w:tc>
          <w:tcPr>
            <w:tcW w:w="1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10"/>
        </w:trPr>
        <w:tc>
          <w:tcPr>
            <w:tcW w:w="4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 (as reported)</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Adjustments</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r>
      <w:tr>
        <w:trPr>
          <w:trHeight w:val="191"/>
        </w:trPr>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4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4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169</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67,244</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67,413</w:t>
            </w:r>
          </w:p>
        </w:tc>
      </w:tr>
      <w:tr>
        <w:trPr>
          <w:trHeight w:val="230"/>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87,531</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87,700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4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429,120</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(24,186)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404,934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4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65,512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(17,859)</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47,653</w:t>
            </w:r>
          </w:p>
        </w:tc>
      </w:tr>
      <w:tr>
        <w:trPr>
          <w:trHeight w:val="230"/>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(239,065)</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41,876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(197,189)</w:t>
            </w:r>
          </w:p>
        </w:tc>
      </w:tr>
      <w:tr>
        <w:trPr>
          <w:trHeight w:val="223"/>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255,567</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255,398</w:t>
            </w:r>
          </w:p>
        </w:tc>
      </w:tr>
      <w:tr>
        <w:trPr>
          <w:trHeight w:val="230"/>
        </w:trPr>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343,098</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343,098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2022 Restatement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comprehensive profit or loss extract for the year ended December 31, 2022 - Restatement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56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 (as reported)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r>
      <w:tr>
        <w:trPr>
          <w:trHeight w:val="61"/>
        </w:trPr>
        <w:tc>
          <w:tcPr>
            <w:tcW w:w="5680" w:type="dxa"/>
            <w:vAlign w:val="bottom"/>
            <w:tcBorders>
              <w:bottom w:val="single" w:sz="8" w:color="auto"/>
            </w:tcBorders>
          </w:tcPr>
          <w:p>
            <w:pPr>
              <w:spacing w:after="0"/>
              <w:rPr>
                <w:sz w:val="5"/>
                <w:szCs w:val="5"/>
                <w:color w:val="auto"/>
              </w:rPr>
            </w:pPr>
          </w:p>
        </w:tc>
        <w:tc>
          <w:tcPr>
            <w:tcW w:w="28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23"/>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(284,022)</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(284,022)</w:t>
            </w:r>
          </w:p>
        </w:tc>
      </w:tr>
      <w:tr>
        <w:trPr>
          <w:trHeight w:val="22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2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(27,560)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(90,966)</w:t>
            </w:r>
          </w:p>
        </w:tc>
      </w:tr>
      <w:tr>
        <w:trPr>
          <w:trHeight w:val="223"/>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(256,462)</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(193,056)</w:t>
            </w:r>
          </w:p>
        </w:tc>
      </w:tr>
      <w:tr>
        <w:trPr>
          <w:trHeight w:val="223"/>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2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(17,412)</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(17,412)</w:t>
            </w:r>
          </w:p>
        </w:tc>
      </w:tr>
      <w:tr>
        <w:trPr>
          <w:trHeight w:val="230"/>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total comprehensive loss</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(239,050)</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r>
      <w:tr>
        <w:trPr>
          <w:trHeight w:val="216"/>
        </w:trPr>
        <w:tc>
          <w:tcPr>
            <w:tcW w:w="5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207,776,000</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207,776,000</w:t>
            </w: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extract for the year ended December 31, 2022 - Restatement</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5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6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 (as reported)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Adjustments</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 (as restated)</w:t>
            </w: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(239,050)</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63,406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(175,644)</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6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financial income</w:t>
            </w:r>
          </w:p>
        </w:tc>
        <w:tc>
          <w:tcPr>
            <w:tcW w:w="2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(27,560)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(90,966)</w:t>
            </w:r>
          </w:p>
        </w:tc>
      </w:tr>
      <w:tr>
        <w:trPr>
          <w:trHeight w:val="217"/>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2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36,250</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undertake judgments, estimates and assumptions about recognition and measurement of assets, liabilities, income and expenses. These judgments and estimates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 Information about the significant judgments, estimates and assumptions that have the most significant effect on the recognition and measurement of assets, liabilities, income and expenses are discussed below.</w:t>
      </w:r>
    </w:p>
    <w:p>
      <w:pPr>
        <w:spacing w:after="0" w:line="176"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Judgements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Going concern</w:t>
      </w:r>
    </w:p>
    <w:p>
      <w:pPr>
        <w:spacing w:after="0" w:line="9"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exercised judgment and used assumptions to determine that it will continue to operate as a going concern. Judgments and estimates were used to determine the Company’s future estimated cash flows for the twelve-month period following December 31, 2023, based on BTC market factors, including price, difficulty and network hashrate. Due to the sensitivity of cash flows to market conditions, small changes in these assumptions may give rise to the determination that there are material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currently no specific guidance for cryptocurrencies under IFRS Accounting Standards. However, judgement is still required due to the particular characteristics of mining cryptocurrencies. The Company applies judgement to account for the revenue recognition from cryptocurrency mining.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 xml:space="preserve">There is currently no specific guidance for cryptocurrencies under IFRS Accounting Standards. However, judgement is still required due to the particular characteristics of holding cryptocurrencies. The Company applies judgement to account for the subsequent remeasurement of cryptocurrencies held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Estimates and assumptions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9"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application of IFRS 16 requires the Company to make judgments and estimates that affect the valuation of the lease liabilities and the valuation of ROU assets. These include the determination of contracts in scope of IFRS 16, the lease term and the interest rate used for discounting future cash flows.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lease liability at the present value of the lease payments using the implicit interest rate in the lease at the commencement of a new lease or when a lease is modified. If the rate cannot be readily determined, the Company evaluates its incremental borrowing cost using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right="7580" w:firstLine="8"/>
        <w:spacing w:after="0" w:line="263" w:lineRule="auto"/>
        <w:tabs>
          <w:tab w:leader="none" w:pos="648"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and it considers all relevant factors that create an economic incentive for it to exercise the renewal.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includes the renewal period as part of the lease term for leases of most farming facilities due to the significance of those assets to its operations. The Company has not included renewal periods for farming facilities when the lease term exceeds 10 years from the commencement of the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and intangible assets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Determining whether goodwill is impaired requires an estimation of the recoverable amount of the CGU or group of CGUs. Such recoverable amount corresponds, for the purpose of impairment assessment, to the higher of the value in use or the fair value less costs of disposal of the CGU or group of CGUs to which goodwill has been allocated.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in use calculation requires Management to estimate future cash flows expected to arise from the CGU or group of CGUs and a suitable discount rate to calculate present value. The key assumptions required for the value in use estimation are the revenue per terahash, energy prices, discount rate and the terminal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value in use approach, the values assigned to key assumptions reflect past experience and external sources of information that are deemed accurate and reliable. The value in use is categorized as Level 3 in the fair value hierarchy described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 one or more key assumptions used is based on unobservable data requiring the use of judgement.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using the value in use approach, cash flows for each CGU or group of CGUs are derived from the budget for the upcoming year, which is approved on an annual basis by members of the Company’s Board of Directors, and a long-term forecast prepared by Management which covers an additional period from 4 to 5 years. The discount rate is derived from the Company’s pre-tax weighted average cost of capital and is adjusted, where applicable, to take into account any specific risks. When applicable, Management estimated the terminal value of the Miners included in the CGU for the purposes of the impairment testing based on the daily revenue per Terahash in effect at the end of the value in use calculation multiplied by the ending hashrate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reversal of impairment of non-financial assets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reviews the need for recording impairment of mineral assets, as detailed in Note 12, for which purpose it engaged an independent external appraiser to assist in determining the value of the assets. The fair value was determined through the use of the market approach, which includes analyzing similar and comparable mineral properties and making adjustments for differences between those properties and the subject property among certain identifiable parameters.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exercises significant judgement in estimating the inputs used to determine the value in use of its equipment and construction prepayments, property, plant and equipment, right-of-use assets and intangible assets. When there is any indication that any tangible and intangible assets other than goodwill have incurred an impairment loss, the determination of the recoverable amount of such tangible and intangible assets other than goodwill requires Management to estimate cash flows expected to arise from those assets and a suitable discount rate in order to calculate the present value in a manner described above for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31"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Contingent liability is an existing condition, situation, or set of circumstances involving uncertainty as to a possible loss that will ultimately be resolved when one or more future events occur or fail to occur. The Company is party to various legal proceedings, claims, and regulatory, tax or government inquiries and investigations that arise in the ordinary course of business. In assessing loss contingencies related to legal proceedings that are pending against the Company or unasserted claims that may result in such proceedings, the Company, with assistance from its legal counsels, evaluates the perceived merits of any legal proceedings or unasserted claims as well as the perceived merits of the amount of relief sought or expected to be sought. A provision for legal claims against the Company is recorded when the Company has a present legal or constructive obligation as a result of past events, and that is more likely than not to be settled with an outflow of economic resources that can be measured reliably.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ACQUISITIONS OF ASSETS</w:t>
      </w:r>
    </w:p>
    <w:p>
      <w:pPr>
        <w:spacing w:after="0" w:line="22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assets in Baie-Comeau</w:t>
      </w:r>
    </w:p>
    <w:p>
      <w:pPr>
        <w:spacing w:after="0" w:line="22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On July 5, 2023, the Company acquired 100% of the shares of a corporation, referred to as Orion, that owns the right to 22 MW of hydro power capacity in Baie-Comeau, Quebec. The consideration transferred at closing totaled $1,964 (CAD$2,603), of which $610 (CAD$814) was paid in cash and $1,354 (CAD$1,789) was paid through the issuance of 821,000 common shares of the Company.</w:t>
      </w:r>
    </w:p>
    <w:p>
      <w:pPr>
        <w:spacing w:after="0" w:line="174" w:lineRule="exact"/>
        <w:rPr>
          <w:sz w:val="20"/>
          <w:szCs w:val="20"/>
          <w:color w:val="auto"/>
        </w:rPr>
      </w:pPr>
    </w:p>
    <w:p>
      <w:pPr>
        <w:jc w:val="both"/>
        <w:ind w:right="20" w:hanging="4"/>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Orion does not meet the definition of a business combination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Orion’s primary assets consist mainly of a contractual right for up to 22 MW of hydro power capacity. Therefore, the transaction has been recorded as an acquisition of a group of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the liabilities assumed were recognized and measured by allocating the fair value of the consideration paid to their relative fair values at the closing date of the transaction. All financial assets acquired and financial liabilities assumed were recorded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and the net assets acquired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July 5,</w:t>
            </w:r>
          </w:p>
        </w:tc>
      </w:tr>
      <w:tr>
        <w:trPr>
          <w:trHeight w:val="210"/>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25"/>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consideration</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of 821,000 common shares transferred at closing</w:t>
            </w:r>
          </w:p>
        </w:tc>
        <w:tc>
          <w:tcPr>
            <w:tcW w:w="3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6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3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2,182</w:t>
            </w:r>
          </w:p>
        </w:tc>
      </w:tr>
      <w:tr>
        <w:trPr>
          <w:trHeight w:val="216"/>
        </w:trPr>
        <w:tc>
          <w:tcPr>
            <w:tcW w:w="67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3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w:t>
            </w:r>
          </w:p>
        </w:tc>
        <w:tc>
          <w:tcPr>
            <w:tcW w:w="3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7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3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67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separately entered into a lease agreement with a third party for a site to install the infrastructure to operate the acquired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tab/>
        <w:t xml:space="preserve">ACQUISITIONS OF ASSETS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of assets in Paraguay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14, 2023, the Company acquired 100% of the shares of two corporations that own the rights to 50 MW and 100 MW, respectively, of hydro power capacity in Villarrica (Paso Pe) and Yguazu, Paraguay, respectively. The cash considerations totaled $1,095 and $450, respectively.</w:t>
      </w:r>
    </w:p>
    <w:p>
      <w:pPr>
        <w:spacing w:after="0" w:line="162"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The transactions have been recorded as acquisitions of a group of assets as the acquirees’ primary assets consist mainly of contractual rights to electricity supply. The purchase prices and the net assets acquired as of July 14,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Villarrica</w:t>
            </w:r>
          </w:p>
        </w:tc>
        <w:tc>
          <w:tcPr>
            <w:tcW w:w="1060" w:type="dxa"/>
            <w:vAlign w:val="bottom"/>
          </w:tcPr>
          <w:p>
            <w:pPr>
              <w:spacing w:after="0"/>
              <w:rPr>
                <w:sz w:val="18"/>
                <w:szCs w:val="18"/>
                <w:color w:val="auto"/>
              </w:rPr>
            </w:pPr>
          </w:p>
        </w:tc>
      </w:tr>
      <w:tr>
        <w:trPr>
          <w:trHeight w:val="238"/>
        </w:trPr>
        <w:tc>
          <w:tcPr>
            <w:tcW w:w="56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(Paso Pe)</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Yguazu</w:t>
            </w:r>
          </w:p>
        </w:tc>
      </w:tr>
      <w:tr>
        <w:trPr>
          <w:trHeight w:val="42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payable</w:t>
            </w: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0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16"/>
        </w:trPr>
        <w:tc>
          <w:tcPr>
            <w:tcW w:w="56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 and other current assets</w:t>
            </w:r>
          </w:p>
        </w:tc>
        <w:tc>
          <w:tcPr>
            <w:tcW w:w="30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8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3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1,065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7"/>
        </w:trPr>
        <w:tc>
          <w:tcPr>
            <w:tcW w:w="56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4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8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4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4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5000" w:type="dxa"/>
            <w:vAlign w:val="bottom"/>
            <w:shd w:val="clear" w:color="auto" w:fill="CCEEFF"/>
          </w:tcPr>
          <w:p>
            <w:pPr>
              <w:spacing w:after="0"/>
              <w:rPr>
                <w:sz w:val="18"/>
                <w:szCs w:val="18"/>
                <w:color w:val="auto"/>
              </w:rPr>
            </w:pPr>
          </w:p>
        </w:tc>
        <w:tc>
          <w:tcPr>
            <w:tcW w:w="4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74,951</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24,596</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5000" w:type="dxa"/>
            <w:vAlign w:val="bottom"/>
          </w:tcPr>
          <w:p>
            <w:pPr>
              <w:spacing w:after="0"/>
              <w:rPr>
                <w:sz w:val="18"/>
                <w:szCs w:val="18"/>
                <w:color w:val="auto"/>
              </w:rPr>
            </w:pPr>
          </w:p>
        </w:tc>
        <w:tc>
          <w:tcPr>
            <w:tcW w:w="4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8,904</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4,916</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CAD held in trust</w:t>
            </w:r>
          </w:p>
        </w:tc>
        <w:tc>
          <w:tcPr>
            <w:tcW w:w="4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ARS</w:t>
            </w:r>
          </w:p>
        </w:tc>
        <w:tc>
          <w:tcPr>
            <w:tcW w:w="50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183</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r>
      <w:tr>
        <w:trPr>
          <w:trHeight w:val="217"/>
        </w:trPr>
        <w:tc>
          <w:tcPr>
            <w:tcW w:w="840" w:type="dxa"/>
            <w:vAlign w:val="bottom"/>
            <w:tcBorders>
              <w:bottom w:val="single" w:sz="8" w:color="auto"/>
            </w:tcBorders>
            <w:shd w:val="clear" w:color="auto" w:fill="CCEEFF"/>
          </w:tcPr>
          <w:p>
            <w:pPr>
              <w:spacing w:after="0"/>
              <w:rPr>
                <w:sz w:val="18"/>
                <w:szCs w:val="18"/>
                <w:color w:val="auto"/>
              </w:rPr>
            </w:pPr>
          </w:p>
        </w:tc>
        <w:tc>
          <w:tcPr>
            <w:tcW w:w="5000" w:type="dxa"/>
            <w:vAlign w:val="bottom"/>
            <w:tcBorders>
              <w:bottom w:val="single" w:sz="8" w:color="auto"/>
            </w:tcBorders>
            <w:shd w:val="clear" w:color="auto" w:fill="CCEEFF"/>
          </w:tcPr>
          <w:p>
            <w:pPr>
              <w:spacing w:after="0"/>
              <w:rPr>
                <w:sz w:val="18"/>
                <w:szCs w:val="18"/>
                <w:color w:val="auto"/>
              </w:rPr>
            </w:pPr>
          </w:p>
        </w:tc>
        <w:tc>
          <w:tcPr>
            <w:tcW w:w="4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TRADE RECEIVABLES</w:t>
            </w:r>
          </w:p>
        </w:tc>
        <w:tc>
          <w:tcPr>
            <w:tcW w:w="4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wholly-owned subsidiary, Volta. Trade receivables are non-interest bearing and are generally on terms of 30 to 90 days.</w:t>
      </w:r>
    </w:p>
    <w:p>
      <w:pPr>
        <w:spacing w:after="0" w:line="176" w:lineRule="exact"/>
        <w:rPr>
          <w:sz w:val="20"/>
          <w:szCs w:val="20"/>
          <w:color w:val="auto"/>
        </w:rPr>
      </w:pPr>
    </w:p>
    <w:p>
      <w:pPr>
        <w:jc w:val="both"/>
        <w:ind w:hanging="9"/>
        <w:spacing w:after="0" w:line="282" w:lineRule="auto"/>
        <w:rPr>
          <w:sz w:val="20"/>
          <w:szCs w:val="20"/>
          <w:color w:val="auto"/>
        </w:rPr>
      </w:pPr>
      <w:r>
        <w:rPr>
          <w:rFonts w:ascii="Times New Roman" w:cs="Times New Roman" w:eastAsia="Times New Roman" w:hAnsi="Times New Roman"/>
          <w:sz w:val="18"/>
          <w:szCs w:val="18"/>
          <w:color w:val="auto"/>
        </w:rPr>
        <w:t>Information about the credit risk exposure of the Company’s trade receivables as of December 31, 2023 and December 31, 2022 is detailed in the trade receivables aging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5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09"/>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1 - 30 days</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353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31 - 60 days</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119</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61 - 90 days</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&gt; 91 days</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ECL</w:t>
            </w:r>
          </w:p>
        </w:tc>
        <w:tc>
          <w:tcPr>
            <w:tcW w:w="4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714</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4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0"/>
        </w:trPr>
        <w:tc>
          <w:tcPr>
            <w:tcW w:w="5560" w:type="dxa"/>
            <w:vAlign w:val="bottom"/>
          </w:tcPr>
          <w:p>
            <w:pPr>
              <w:spacing w:after="0"/>
              <w:rPr>
                <w:sz w:val="24"/>
                <w:szCs w:val="24"/>
                <w:color w:val="auto"/>
              </w:rPr>
            </w:pP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As of</w:t>
            </w:r>
          </w:p>
        </w:tc>
      </w:tr>
      <w:tr>
        <w:trPr>
          <w:trHeight w:val="238"/>
        </w:trPr>
        <w:tc>
          <w:tcPr>
            <w:tcW w:w="55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10"/>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805</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3,816</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4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7"/>
        </w:trPr>
        <w:tc>
          <w:tcPr>
            <w:tcW w:w="55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Refer to Note 28c for more details about the provision applied to the Argentine value-added tax (VAT) receivable included in sales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44" w:name="page145"/>
    <w:bookmarkEnd w:id="144"/>
    <w:p>
      <w:pPr>
        <w:ind w:left="2"/>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ind w:left="2"/>
        <w:spacing w:after="0"/>
        <w:tabs>
          <w:tab w:leader="none" w:pos="961"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BTC transactions and the corresponding values for the years ended December 31, 2023 and 2022 were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Quantity</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3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6,705</w:t>
            </w: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3,301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152,856</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5,167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138,985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purchased</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(4,529)</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(129,309)</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(9,063)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disposition of digital assets**</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7,713</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7,556</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187"/>
        </w:trPr>
        <w:tc>
          <w:tcPr>
            <w:tcW w:w="6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digital assets pledged as collateral as of</w:t>
            </w:r>
          </w:p>
        </w:tc>
        <w:tc>
          <w:tcPr>
            <w:tcW w:w="1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804</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December 31,***</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w:t>
            </w: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(2,101)</w:t>
            </w: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187"/>
        </w:trPr>
        <w:tc>
          <w:tcPr>
            <w:tcW w:w="60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754</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31,870</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 w:hanging="2"/>
        <w:spacing w:after="0" w:line="282" w:lineRule="auto"/>
        <w:tabs>
          <w:tab w:leader="none" w:pos="1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on the day it was received. Management considers the prices quoted on Coinbase to be a level 2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2" w:hanging="2"/>
        <w:spacing w:after="0" w:line="261" w:lineRule="auto"/>
        <w:tabs>
          <w:tab w:leader="none" w:pos="2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year ended December 31, 2023, a gain of $9,242, net of $3,332 of deferred income tax expense, was presented in other comprehensive income (year ended December 31, 2022: nil).</w:t>
      </w:r>
    </w:p>
    <w:p>
      <w:pPr>
        <w:spacing w:after="0" w:line="179"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17 for details of the Company’s long-term debt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291465</wp:posOffset>
            </wp:positionV>
            <wp:extent cx="71323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2"/>
        <w:spacing w:after="0"/>
        <w:tabs>
          <w:tab w:leader="none" w:pos="10881"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2"/>
          </w:cols>
          <w:pgMar w:left="318" w:top="9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to which gave it the right, but not the obligation, to sell digital assets at a fixed price. Options contracts are used to reduce the risk of BTC price volatility and reduce the variability of cash flows resulting from future sales of digital assets. The Company did not apply hedge accounting on these contracts. There were no derivative asset and liability activities relating to BTC option contracts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derivatives (Level 2):</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7260" w:type="dxa"/>
            <w:vAlign w:val="bottom"/>
          </w:tcPr>
          <w:p>
            <w:pPr>
              <w:spacing w:after="0"/>
              <w:rPr>
                <w:sz w:val="16"/>
                <w:szCs w:val="16"/>
                <w:color w:val="auto"/>
              </w:rPr>
            </w:pPr>
          </w:p>
        </w:tc>
        <w:tc>
          <w:tcPr>
            <w:tcW w:w="28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r>
      <w:tr>
        <w:trPr>
          <w:trHeight w:val="238"/>
        </w:trPr>
        <w:tc>
          <w:tcPr>
            <w:tcW w:w="7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2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28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w:t>
            </w:r>
          </w:p>
        </w:tc>
      </w:tr>
      <w:tr>
        <w:trPr>
          <w:trHeight w:val="216"/>
        </w:trPr>
        <w:tc>
          <w:tcPr>
            <w:tcW w:w="7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r>
      <w:tr>
        <w:trPr>
          <w:trHeight w:val="217"/>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8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gain or loss on derivatives are recognized in Net financial expenses (income) in the consolidated statements of profit or loss and comprehensive profit or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66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4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409</w:t>
            </w:r>
          </w:p>
        </w:tc>
      </w:tr>
      <w:tr>
        <w:trPr>
          <w:trHeight w:val="216"/>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loss on settled contracts</w:t>
            </w:r>
          </w:p>
        </w:tc>
        <w:tc>
          <w:tcPr>
            <w:tcW w:w="4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r>
      <w:tr>
        <w:trPr>
          <w:trHeight w:val="216"/>
        </w:trPr>
        <w:tc>
          <w:tcPr>
            <w:tcW w:w="6600" w:type="dxa"/>
            <w:vAlign w:val="bottom"/>
            <w:tcBorders>
              <w:bottom w:val="single" w:sz="8" w:color="auto"/>
            </w:tcBorders>
            <w:shd w:val="clear" w:color="auto" w:fill="CCEEFF"/>
          </w:tcPr>
          <w:p>
            <w:pPr>
              <w:spacing w:after="0"/>
              <w:rPr>
                <w:sz w:val="18"/>
                <w:szCs w:val="18"/>
                <w:color w:val="auto"/>
              </w:rPr>
            </w:pPr>
          </w:p>
        </w:tc>
        <w:tc>
          <w:tcPr>
            <w:tcW w:w="4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which included 22,222,000 warrants and 3,000,000 broker warrants to purchase common shares, as described in Note 21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warrants are convertible for a fixed number of common shares of the Company but have a contingent cashless exercise clause, which results in a classification as a financial liability and measurement at fair value through profit and loss recognized in Net financial expenses (income).</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warrant liabilities in the amount of $40,426, which includes $34,276 relating to the November 2023 private placement and $6,150 relating to the 2021 private placements (December 31, 2022: nil and $169,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values of the warrants and broker warrants at initial recognition, prior to their derecognition as described in Note 21 and at period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1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28, 2023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7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Remeasurement on settlement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27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November 28,</w:t>
            </w:r>
          </w:p>
        </w:tc>
        <w:tc>
          <w:tcPr>
            <w:tcW w:w="14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18,</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27,</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3.96</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0.74</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5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granted (exercised)</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22,222,000</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(4,963,000)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(2,000,000)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15,259,000</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November 28, 2023 broker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27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Remeasurement on settlement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27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warrants</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November 28,</w:t>
            </w:r>
          </w:p>
        </w:tc>
        <w:tc>
          <w:tcPr>
            <w:tcW w:w="14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20,</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22,</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0.72</w:t>
            </w:r>
          </w:p>
        </w:tc>
        <w:tc>
          <w:tcPr>
            <w:tcW w:w="1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w:t>
            </w:r>
          </w:p>
        </w:tc>
      </w:tr>
      <w:tr>
        <w:trPr>
          <w:trHeight w:val="25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granted (exercised)</w:t>
            </w: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3,000,000</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(1,167,000)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(1,140,000)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693,000</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7, 2021 broker warrants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42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   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55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5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3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4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48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148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1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3.72</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0.64</w:t>
            </w:r>
          </w:p>
        </w:tc>
      </w:tr>
      <w:tr>
        <w:trPr>
          <w:trHeight w:val="25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14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96,000</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96,000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14,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3.63</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0.56</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559,000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559,000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559,000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January 14,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3.53</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3.52</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0.43</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447,000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447,000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447,000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10,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0.62</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6,156,000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6,156,000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6,156,000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DERIVATIVE ASSETS AND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Warrant liabilities </w:t>
            </w:r>
            <w:r>
              <w:rPr>
                <w:rFonts w:ascii="Times New Roman" w:cs="Times New Roman" w:eastAsia="Times New Roman" w:hAnsi="Times New Roman"/>
                <w:sz w:val="18"/>
                <w:szCs w:val="18"/>
                <w:color w:val="auto"/>
              </w:rPr>
              <w:t>(Continued)</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February 10,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3.39</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0.50</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125,000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 2021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4.87</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0.15</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10,613,000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10,613,000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10,613,000</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 2021 broker warrants</w:t>
            </w: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606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Remeasurement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w:t>
            </w:r>
          </w:p>
        </w:tc>
      </w:tr>
      <w:tr>
        <w:trPr>
          <w:trHeight w:val="238"/>
        </w:trPr>
        <w:tc>
          <w:tcPr>
            <w:tcW w:w="60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at period end</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at period end</w:t>
            </w:r>
          </w:p>
        </w:tc>
      </w:tr>
      <w:tr>
        <w:trPr>
          <w:trHeight w:val="187"/>
        </w:trPr>
        <w:tc>
          <w:tcPr>
            <w:tcW w:w="6060" w:type="dxa"/>
            <w:vAlign w:val="bottom"/>
          </w:tcPr>
          <w:p>
            <w:pPr>
              <w:spacing w:after="0"/>
              <w:rPr>
                <w:sz w:val="16"/>
                <w:szCs w:val="16"/>
                <w:color w:val="auto"/>
              </w:rPr>
            </w:pPr>
          </w:p>
        </w:tc>
        <w:tc>
          <w:tcPr>
            <w:tcW w:w="22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15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6.38</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0.56</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2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5.49</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2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0.10</w:t>
            </w:r>
          </w:p>
        </w:tc>
      </w:tr>
      <w:tr>
        <w:trPr>
          <w:trHeight w:val="25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2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1,132,000</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1,132,000</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ASSETS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assets held for sale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December 31,</w:t>
            </w:r>
          </w:p>
        </w:tc>
      </w:tr>
      <w:tr>
        <w:trPr>
          <w:trHeight w:val="209"/>
        </w:trPr>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w:t>
            </w: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521</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ii.</w:t>
            </w: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867</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93"/>
              </w:rPr>
              <w:t>1,388</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Miners held of sale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Innosilicon T2T &amp; T3,</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7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Antminer S9</w:t>
            </w: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Bitmain S19j</w:t>
            </w: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6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Miners (a)</w:t>
            </w:r>
          </w:p>
        </w:tc>
        <w:tc>
          <w:tcPr>
            <w:tcW w:w="20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S15 Miners (b)</w:t>
            </w:r>
          </w:p>
        </w:tc>
        <w:tc>
          <w:tcPr>
            <w:tcW w:w="17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M20S Miners (c)</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Pro Miners (d)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tcPr>
          <w:p>
            <w:pPr>
              <w:spacing w:after="0"/>
              <w:rPr>
                <w:sz w:val="20"/>
                <w:szCs w:val="20"/>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Qty</w:t>
            </w: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Qty</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Qty</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Qty</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2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1,211</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6,060</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2,051</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325</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4,071</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1,778</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6,122</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2,103</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(207)</w:t>
            </w: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(748)</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(5,748)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(572)</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(2,650)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187"/>
        </w:trPr>
        <w:tc>
          <w:tcPr>
            <w:tcW w:w="23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38"/>
        </w:trPr>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7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1,272</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190</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2,512</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1,030</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3,784</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1,220</w:t>
            </w:r>
          </w:p>
        </w:tc>
      </w:tr>
      <w:tr>
        <w:trPr>
          <w:trHeight w:val="21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1,848</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198</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2,148</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(714)</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r>
      <w:tr>
        <w:trPr>
          <w:trHeight w:val="21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(3,120)</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(388)</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(3,120)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r>
      <w:tr>
        <w:trPr>
          <w:trHeight w:val="187"/>
        </w:trPr>
        <w:tc>
          <w:tcPr>
            <w:tcW w:w="23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45"/>
        </w:trPr>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316</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1,031</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w:t>
            </w:r>
          </w:p>
        </w:tc>
      </w:tr>
    </w:tbl>
    <w:p>
      <w:pPr>
        <w:spacing w:after="0" w:line="196"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Antminer S9 Miners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2021, the Company ceased using its Antminer S9 Miners. During the year ended December 31, 2022, 3,982 Antminer S9 Miners with a carrying amount of $779 were disposed for net proceeds of $101 resulting in a loss of $678. The remaining Antminer S9 Miners were not sold within 12 months since being classified as held for sale in 2021 due to the decline of the BTC price during the year ended December 31, 2022. As a result, those Miners were fully written off and an impairment loss of $432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for sale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Innosilicon T2T, Innosilicon T3, Canaan Avalon A10, Antminer T15 and Antminer S15 Miners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2022, the Company ceased using Innosilicon T2T Miners, Canaan Avalon A10 Miners, Antminer T15 Miners and Antminer S15 Miners with plans to dispose of them within the next 12 months. During the year ended December 31, 2022, 207 Antminer T15 Miners with a carrying amount of $22 were disposed for net proceeds of $31 resulting in a gain of $9. In addition, due to the decline of the BTC price during the year ended December 31, 2022, the remaining Canaan Avalon A10 Miners, Antminer T15 Miners and Antminer S15 Miners were written off and an impairment loss of $113 was recognized.</w:t>
      </w:r>
    </w:p>
    <w:p>
      <w:pPr>
        <w:spacing w:after="0" w:line="189"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ceased using its Innosilicon T3 Miners with plans to dispose of them within the next 12 months. Due to the performance of these Miners, they were fully written off along with the remaining Innosilicon T2T Miners and an impairment loss of $388 was recognized.</w:t>
      </w:r>
    </w:p>
    <w:p>
      <w:pPr>
        <w:spacing w:after="0" w:line="174"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2022, the Company ceased using its MicroBT WhatsMiner M20S Miners and planned to dispose of them within the next 12 months. During the year ended December 31, 2022, the Company sold 1,559 MicroBT WhatsMiner M20S Miners with a carrying amount of $748 and disposed of them for net proceeds of $896 resulting in a gain of $148.</w:t>
      </w:r>
    </w:p>
    <w:p>
      <w:pPr>
        <w:spacing w:after="0" w:line="186"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1,781 MicroBT WhatsMiner M20S Miners with carrying amount of $714 and disposed of them for net proceeds of $407 resulting in a loss of 307. Management determined that the remaining MicroBT WhatsMiner M20S Miners continue to meet the criteria to be classified as held for sale as of December 31, 2023.</w:t>
      </w:r>
    </w:p>
    <w:p>
      <w:pPr>
        <w:spacing w:after="0" w:line="174"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the Company ceased using 300 Bitmain S19j Pro Miners and planned to dispose of them within the next 12 months.</w:t>
      </w:r>
    </w:p>
    <w:p>
      <w:pPr>
        <w:spacing w:after="0" w:line="17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Mining electrical components held for sale</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de-energized its immersion cooling pilot project in Washington State, ceased using the electrical components used in the project with a carrying value of $867, net of impairment charge of $1,882, as described in Note 12, and planned to dispose of them within the next 12 months. The Company entered into an agreement to sell the immersion cooling electrical components in December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impairment loss (reversal) in the consolidated statements of profit or loss and comprehensive profit or loss:</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91"/>
        </w:trPr>
        <w:tc>
          <w:tcPr>
            <w:tcW w:w="9040" w:type="dxa"/>
            <w:vAlign w:val="bottom"/>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Impairment on short-term prepaid deposits, equipment and construction prepayments, property, plant and equipment</w:t>
            </w:r>
          </w:p>
        </w:tc>
        <w:tc>
          <w:tcPr>
            <w:tcW w:w="126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right-of-use assets</w:t>
            </w:r>
          </w:p>
        </w:tc>
        <w:tc>
          <w:tcPr>
            <w:tcW w:w="1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75,213</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93,113</w:t>
            </w:r>
          </w:p>
        </w:tc>
        <w:tc>
          <w:tcPr>
            <w:tcW w:w="0" w:type="dxa"/>
            <w:vAlign w:val="bottom"/>
          </w:tcPr>
          <w:p>
            <w:pPr>
              <w:spacing w:after="0"/>
              <w:rPr>
                <w:sz w:val="1"/>
                <w:szCs w:val="1"/>
                <w:color w:val="auto"/>
              </w:rPr>
            </w:pPr>
          </w:p>
        </w:tc>
      </w:tr>
      <w:tr>
        <w:trPr>
          <w:trHeight w:val="432"/>
        </w:trPr>
        <w:tc>
          <w:tcPr>
            <w:tcW w:w="3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Equipment</w:t>
            </w: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prepaid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construction</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Assets held</w:t>
            </w:r>
          </w:p>
        </w:tc>
        <w:tc>
          <w:tcPr>
            <w:tcW w:w="1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plant and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prepayments</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Immersion cooling equipment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3,000</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4,882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Washington State cryptocurrency Mining</w:t>
            </w: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CGU (“Washington CGU”)</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6,208</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24,414</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Argentina cryptocurrency Mining CGU</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(“Argentina CGU”)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50,326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32,027</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84,081</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Quebec cryptocurrency Mining CGU</w:t>
            </w: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(“Quebec CGU”)</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(11,641)</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Paraguay cryptocurrency Mining CGU</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(“Paraguay CGU”)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(8,486)</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 held for sale</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Suni mineral asset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30,199</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42,435</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4286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impairment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 During the second quarter of 2023, the Company decided to terminate the importation agreements with the external brokers as of June 30, 2023.</w:t>
      </w:r>
    </w:p>
    <w:p>
      <w:pPr>
        <w:spacing w:after="0" w:line="187"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$3,000 and bringing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electrical components during the fourth quarter of 2023</w:t>
      </w:r>
    </w:p>
    <w:p>
      <w:pPr>
        <w:spacing w:after="0" w:line="31"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right="20" w:hanging="4"/>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spacing w:after="0" w:line="184"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in connection with the planned disposal of the de-energized immersion cooling electrical components, Management tested those assets for impairment, resulting in an impairment charge of $1,882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2022 impairment loss and impairment loss reversal</w:t>
      </w:r>
    </w:p>
    <w:p>
      <w:pPr>
        <w:spacing w:after="0" w:line="31"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as a result of the decline in the BTC price, the Company performed evaluations of the recoverable amount of the assets for operating the cryptocurrency mining facilities in Quebec, Washington State, Argentina and Paraguay separately. As the group of assets for each CGU do not generate cash inflows that are independent of each other, the recoverable amount was calculated for each CGU comprised of the property, plant and equipment, ROU assets, long-term electricity deposits, long-term construction and equipment prepayments and favorable lease used in the operating cryptocurrency mining facilities in Quebec, Washington State, Argentina and Paraguay.</w:t>
      </w:r>
    </w:p>
    <w:p>
      <w:pPr>
        <w:spacing w:after="0" w:line="185"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The recoverable amount was calculated using the value in use model, which calculated the present value of the future cash flows expected to be derived from the Washington CGU and Argentina CGU, which were determined to be lower than their carrying amount. Based on its calculation, the Company determined that impairment losses should be recorded on its Washington CGU and Argentina CGU in the amount of $24,414 and $84,081, respectively, during the year ended December 31, 2022. The impairment losses were recognized in profit or loss under Impairment on short-term prepaid deposits, equipment and construction prepayments, property, plant and equipment and right-of-use assets and Impairment on goodwill.</w:t>
      </w:r>
    </w:p>
    <w:p>
      <w:pPr>
        <w:spacing w:after="0" w:line="185"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Reversal of impairment loss</w:t>
      </w:r>
    </w:p>
    <w:p>
      <w:pPr>
        <w:spacing w:after="0" w:line="2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The renegotiation of the 48,000 unit purchase agreements, as described in Note 15a, allowed the deployment of Miners intended for the Argentina CGU to be reassigned to the Quebec CGU and Paraguay CGU. As a result, a portion of the equipment prepayments in the Argentina CGU that were impaired during the third quarter of 2022 was allocated to the Quebec CGU and Paraguay CGU. The deposits were transferred to the Quebec CGU and Paraguay CGU at the impaired amount. After performing the evaluation of the recoverable amount of the assets for these CGUs, the impairment losses previously recognized on these deposits were reversed into the Quebec CGU and Paraguay CGU by $11,641 and $8,486, respectively. The impairment reversals were recognized in profit or loss under Impairment on short-term prepaid deposits, equipment and construction prepayments, property, plant and equipment and right-of-use assets.</w:t>
      </w:r>
    </w:p>
    <w:p>
      <w:pPr>
        <w:spacing w:after="0" w:line="186"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Suni mineral asset</w:t>
      </w:r>
    </w:p>
    <w:p>
      <w:pPr>
        <w:spacing w:after="0" w:line="29" w:lineRule="exact"/>
        <w:rPr>
          <w:sz w:val="20"/>
          <w:szCs w:val="20"/>
          <w:color w:val="auto"/>
        </w:rPr>
      </w:pPr>
    </w:p>
    <w:p>
      <w:pPr>
        <w:jc w:val="both"/>
        <w:ind w:hanging="4"/>
        <w:spacing w:after="0" w:line="253"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the Company engaged an independent appraiser to determine the fair value as of the acquisition date, April 12, 2018, of Suni, an iron ore deposit located in Canada held by the acquiree. The appraiser’s valuation report was based on the market comparison method and the analysis of similar assets. Following certain adjustments resulting from changes in the price of iron ore, among other variables, Suni’s value at April 12, 2018 was estimated at $9,000.</w:t>
      </w:r>
    </w:p>
    <w:p>
      <w:pPr>
        <w:spacing w:after="0" w:line="189" w:lineRule="exact"/>
        <w:rPr>
          <w:sz w:val="20"/>
          <w:szCs w:val="20"/>
          <w:color w:val="auto"/>
        </w:rPr>
      </w:pPr>
    </w:p>
    <w:p>
      <w:pPr>
        <w:jc w:val="both"/>
        <w:ind w:hanging="4"/>
        <w:spacing w:after="0" w:line="256" w:lineRule="auto"/>
        <w:rPr>
          <w:sz w:val="20"/>
          <w:szCs w:val="20"/>
          <w:color w:val="auto"/>
        </w:rPr>
      </w:pPr>
      <w:r>
        <w:rPr>
          <w:rFonts w:ascii="Times New Roman" w:cs="Times New Roman" w:eastAsia="Times New Roman" w:hAnsi="Times New Roman"/>
          <w:sz w:val="18"/>
          <w:szCs w:val="18"/>
          <w:color w:val="auto"/>
        </w:rPr>
        <w:t>An independent appraiser was engaged to determine Suni’s fair value as of September 30, 2022 due to the decline in the iron ore price during the third quarter of 2022. Using the same method as the previous independent appraiser, the new appraiser determined that the fair value of Suni was $3,250, or $3,000 after reflecting estimated costs to sell, compared to $7,200 on December 31, 2021, which resulted in an impairment of $4,200 during the third quarter of 2022 to Suni’s mineral asset book value. There were no further impairment indicators as of December 31, 2022. The impairment loss was recognized in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308,205</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4,392</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45,278</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1,082</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367,957</w:t>
            </w: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63,598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1,348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5,924</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272</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71,142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(7,325)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(9,688)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(9,688)</w:t>
            </w: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(499)</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1,262</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r>
      <w:tr>
        <w:trPr>
          <w:trHeight w:val="210"/>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120,097</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270</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21,636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526</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148,529</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77,551</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154</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3,556</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194</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81,455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(5,756)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(8,418)</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(8,418)</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4,882</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Impairment on deposits transferred to PPE</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14,438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469</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14,907</w:t>
            </w:r>
          </w:p>
        </w:tc>
      </w:tr>
      <w:tr>
        <w:trPr>
          <w:trHeight w:val="21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424</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647</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r>
      <w:tr>
        <w:trPr>
          <w:trHeight w:val="210"/>
        </w:trPr>
        <w:tc>
          <w:tcPr>
            <w:tcW w:w="30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2023</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155,009</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5,316</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25,072</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615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186,012</w:t>
            </w: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4"/>
        </w:trPr>
        <w:tc>
          <w:tcPr>
            <w:tcW w:w="3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BVVE and</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3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156,647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4,549</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5,783</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176,526</w:t>
            </w:r>
          </w:p>
        </w:tc>
      </w:tr>
      <w:tr>
        <w:trPr>
          <w:trHeight w:val="191"/>
        </w:trPr>
        <w:tc>
          <w:tcPr>
            <w:tcW w:w="3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Measurement period adjustment to</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combination</w:t>
            </w:r>
          </w:p>
        </w:tc>
        <w:tc>
          <w:tcPr>
            <w:tcW w:w="1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164,437</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3,239</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39,495</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552</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207,723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(3,609)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(3,378)</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(8,143)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r>
      <w:tr>
        <w:trPr>
          <w:trHeight w:val="20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308,205</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9,000</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4,392</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45,278</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1,082</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r>
      <w:tr>
        <w:trPr>
          <w:trHeight w:val="210"/>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35,766</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1,560</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39,676</w:t>
            </w: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66,319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1,703</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68,339</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(2,562)</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24,820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1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13,107</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42,435</w:t>
            </w:r>
          </w:p>
        </w:tc>
      </w:tr>
      <w:tr>
        <w:trPr>
          <w:trHeight w:val="216"/>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Impairment on deposits transferred to PPE</w:t>
            </w: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5,266</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7,060</w:t>
            </w:r>
          </w:p>
        </w:tc>
      </w:tr>
      <w:tr>
        <w:trPr>
          <w:trHeight w:val="209"/>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120,097</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270</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21,636</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r>
      <w:tr>
        <w:trPr>
          <w:trHeight w:val="210"/>
        </w:trPr>
        <w:tc>
          <w:tcPr>
            <w:tcW w:w="3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6"/>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as of December 31, 2022</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188,108</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4,122</w:t>
            </w:r>
          </w:p>
        </w:tc>
        <w:tc>
          <w:tcPr>
            <w:tcW w:w="1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23,642</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556</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8572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57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BVVE held by the Company as of December 31, 2023 and December 31, 2022 are as follows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45,375</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58,258</w:t>
            </w: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8,281</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9,289</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(1,918)</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(5,711)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(731)</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(300)</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51,007</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16,061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67,068</w:t>
            </w:r>
          </w:p>
        </w:tc>
      </w:tr>
    </w:tbl>
    <w:p>
      <w:pPr>
        <w:spacing w:after="0" w:line="198" w:lineRule="exact"/>
        <w:rPr>
          <w:sz w:val="20"/>
          <w:szCs w:val="20"/>
          <w:color w:val="auto"/>
        </w:rPr>
      </w:pPr>
    </w:p>
    <w:p>
      <w:pPr>
        <w:ind w:right="1640" w:firstLine="3"/>
        <w:spacing w:after="0" w:line="498" w:lineRule="auto"/>
        <w:tabs>
          <w:tab w:leader="none" w:pos="1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as of December 31, 2023. Refer to Note 11 for more details on assets held for 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Canaan</w:t>
            </w:r>
          </w:p>
        </w:tc>
        <w:tc>
          <w:tcPr>
            <w:tcW w:w="8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Avalon</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800" w:type="dxa"/>
            <w:vAlign w:val="bottom"/>
          </w:tcPr>
          <w:p>
            <w:pPr>
              <w:spacing w:after="0"/>
              <w:rPr>
                <w:sz w:val="18"/>
                <w:szCs w:val="18"/>
                <w:color w:val="auto"/>
              </w:rPr>
            </w:pPr>
          </w:p>
        </w:tc>
      </w:tr>
      <w:tr>
        <w:trPr>
          <w:trHeight w:val="238"/>
        </w:trPr>
        <w:tc>
          <w:tcPr>
            <w:tcW w:w="3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A10</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Antminers***</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2022</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6,446</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1,024</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8,073</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41,390</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28,499</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29,300</w:t>
            </w:r>
          </w:p>
        </w:tc>
      </w:tr>
      <w:tr>
        <w:trPr>
          <w:trHeight w:val="216"/>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(8,073)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w:t>
            </w:r>
          </w:p>
        </w:tc>
      </w:tr>
      <w:tr>
        <w:trPr>
          <w:trHeight w:val="217"/>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2022</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45,375</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5,711</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16"/>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ROU asset****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7"/>
        </w:trPr>
        <w:tc>
          <w:tcPr>
            <w:tcW w:w="3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39,863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7,172</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51,474</w:t>
            </w:r>
          </w:p>
        </w:tc>
      </w:tr>
    </w:tbl>
    <w:p>
      <w:pPr>
        <w:spacing w:after="0" w:line="198" w:lineRule="exact"/>
        <w:rPr>
          <w:sz w:val="20"/>
          <w:szCs w:val="20"/>
          <w:color w:val="auto"/>
        </w:rPr>
      </w:pPr>
    </w:p>
    <w:p>
      <w:pPr>
        <w:ind w:right="4240" w:firstLine="3"/>
        <w:spacing w:after="0" w:line="500" w:lineRule="auto"/>
        <w:tabs>
          <w:tab w:leader="none" w:pos="13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2,512 M20S classified as assets held for sale, 30,210 M30S and 12,653 M31S Miners. ** Includes 4,439 T3 and 1,272 T2T Miners classified as assets held for sale.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Included Antminer T15 and Antminer S15 Miners classified as assets held for sale and written off.</w:t>
      </w:r>
    </w:p>
    <w:p>
      <w:pPr>
        <w:spacing w:after="0" w:line="225" w:lineRule="exact"/>
        <w:rPr>
          <w:rFonts w:ascii="Times New Roman" w:cs="Times New Roman" w:eastAsia="Times New Roman" w:hAnsi="Times New Roman"/>
          <w:sz w:val="18"/>
          <w:szCs w:val="18"/>
          <w:color w:val="auto"/>
        </w:rPr>
      </w:pPr>
    </w:p>
    <w:p>
      <w:pPr>
        <w:ind w:right="47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Includes 3,000 WhatsMiner M31S+ with a net book value of approximately $3,330. Refer to Note 11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INTANGIBLE ASSETS</w:t>
            </w: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Access rights</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Favorable</w:t>
            </w:r>
          </w:p>
        </w:tc>
        <w:tc>
          <w:tcPr>
            <w:tcW w:w="1020" w:type="dxa"/>
            <w:vAlign w:val="bottom"/>
          </w:tcPr>
          <w:p>
            <w:pPr>
              <w:spacing w:after="0"/>
              <w:rPr>
                <w:sz w:val="24"/>
                <w:szCs w:val="24"/>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7,150</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3,801</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3,801</w:t>
            </w:r>
          </w:p>
        </w:tc>
      </w:tr>
      <w:tr>
        <w:trPr>
          <w:trHeight w:val="210"/>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3,801</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10,951</w:t>
            </w:r>
          </w:p>
        </w:tc>
      </w:tr>
      <w:tr>
        <w:trPr>
          <w:trHeight w:val="209"/>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5,117</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7,117</w:t>
            </w: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w:t>
            </w:r>
          </w:p>
        </w:tc>
      </w:tr>
      <w:tr>
        <w:trPr>
          <w:trHeight w:val="20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7,251</w:t>
            </w:r>
          </w:p>
        </w:tc>
      </w:tr>
      <w:tr>
        <w:trPr>
          <w:trHeight w:val="210"/>
        </w:trPr>
        <w:tc>
          <w:tcPr>
            <w:tcW w:w="47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2023</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3,688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3,700</w:t>
            </w:r>
          </w:p>
        </w:tc>
      </w:tr>
      <w:tr>
        <w:trPr>
          <w:trHeight w:val="216"/>
        </w:trPr>
        <w:tc>
          <w:tcPr>
            <w:tcW w:w="4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4"/>
        </w:trPr>
        <w:tc>
          <w:tcPr>
            <w:tcW w:w="4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Systems</w:t>
            </w:r>
          </w:p>
        </w:tc>
        <w:tc>
          <w:tcPr>
            <w:tcW w:w="14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Access rights</w:t>
            </w:r>
          </w:p>
        </w:tc>
        <w:tc>
          <w:tcPr>
            <w:tcW w:w="1460" w:type="dxa"/>
            <w:vAlign w:val="bottom"/>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Favorable</w:t>
            </w:r>
          </w:p>
        </w:tc>
        <w:tc>
          <w:tcPr>
            <w:tcW w:w="1020" w:type="dxa"/>
            <w:vAlign w:val="bottom"/>
          </w:tcPr>
          <w:p>
            <w:pPr>
              <w:spacing w:after="0"/>
              <w:rPr>
                <w:sz w:val="16"/>
                <w:szCs w:val="16"/>
                <w:color w:val="auto"/>
              </w:rPr>
            </w:pPr>
          </w:p>
        </w:tc>
      </w:tr>
      <w:tr>
        <w:trPr>
          <w:trHeight w:val="238"/>
        </w:trPr>
        <w:tc>
          <w:tcPr>
            <w:tcW w:w="4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1,800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6,950</w:t>
            </w:r>
          </w:p>
        </w:tc>
      </w:tr>
      <w:tr>
        <w:trPr>
          <w:trHeight w:val="216"/>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Measurement period adjustment to business combination</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5,150</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7,150</w:t>
            </w:r>
          </w:p>
        </w:tc>
      </w:tr>
      <w:tr>
        <w:trPr>
          <w:trHeight w:val="210"/>
        </w:trPr>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5,008</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261</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1,739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r>
      <w:tr>
        <w:trPr>
          <w:trHeight w:val="209"/>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5,117</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7,117</w:t>
            </w:r>
          </w:p>
        </w:tc>
      </w:tr>
      <w:tr>
        <w:trPr>
          <w:trHeight w:val="210"/>
        </w:trPr>
        <w:tc>
          <w:tcPr>
            <w:tcW w:w="47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2022</w:t>
            </w:r>
          </w:p>
        </w:tc>
        <w:tc>
          <w:tcPr>
            <w:tcW w:w="1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7200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 related to acquisitions of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made three acquisitions of groups of assets, resulting in additional access rights to electricity. The access rights represent a contractual right to hydro power capacity and are classified as intangible assets. The assets acquired, including the intangible assets, and the liabilities assumed were recognized and measured by allocating the fair value of the consideration paid to their relative fair values at the closing date of the transactions. Refer to Note 5 for more details. The following table summarizes the access rights: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900" w:type="dxa"/>
            <w:vAlign w:val="bottom"/>
          </w:tcPr>
          <w:p>
            <w:pPr>
              <w:spacing w:after="0"/>
              <w:rPr>
                <w:sz w:val="18"/>
                <w:szCs w:val="18"/>
                <w:color w:val="auto"/>
              </w:rPr>
            </w:pPr>
          </w:p>
        </w:tc>
      </w:tr>
      <w:tr>
        <w:trPr>
          <w:trHeight w:val="23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Quebec</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termination date</w:t>
            </w:r>
          </w:p>
        </w:tc>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Straight-line over the lease term of the facility</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Villarrica (Paso Pe), Paraguay</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MW*</w:t>
            </w:r>
          </w:p>
        </w:tc>
        <w:tc>
          <w:tcPr>
            <w:tcW w:w="2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6"/>
        </w:trPr>
        <w:tc>
          <w:tcPr>
            <w:tcW w:w="2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Yguazu, Paraguay</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6"/>
              </w:rPr>
              <w:t>MW</w:t>
            </w:r>
          </w:p>
        </w:tc>
        <w:tc>
          <w:tcPr>
            <w:tcW w:w="24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9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Straight-line over the access rights period</w:t>
            </w:r>
          </w:p>
        </w:tc>
      </w:tr>
      <w:tr>
        <w:trPr>
          <w:trHeight w:val="216"/>
        </w:trPr>
        <w:tc>
          <w:tcPr>
            <w:tcW w:w="2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 MW</w:t>
            </w:r>
          </w:p>
        </w:tc>
        <w:tc>
          <w:tcPr>
            <w:tcW w:w="24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15:  LONG-TERM DEPOSITS, EQUIPMENT PREPAYMENTS, COMMITMENTS AND OTHER</w:t>
            </w:r>
          </w:p>
        </w:tc>
        <w:tc>
          <w:tcPr>
            <w:tcW w:w="1660" w:type="dxa"/>
            <w:vAlign w:val="bottom"/>
          </w:tcPr>
          <w:p>
            <w:pPr>
              <w:spacing w:after="0"/>
              <w:rPr>
                <w:sz w:val="20"/>
                <w:szCs w:val="20"/>
                <w:color w:val="auto"/>
              </w:rPr>
            </w:pPr>
          </w:p>
        </w:tc>
      </w:tr>
      <w:tr>
        <w:trPr>
          <w:trHeight w:val="432"/>
        </w:trPr>
        <w:tc>
          <w:tcPr>
            <w:tcW w:w="5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2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232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4,901</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2320" w:type="dxa"/>
            <w:vAlign w:val="bottom"/>
            <w:tcBorders>
              <w:bottom w:val="single" w:sz="8" w:color="auto"/>
            </w:tcBorders>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a</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39,813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32,230</w:t>
            </w:r>
          </w:p>
        </w:tc>
      </w:tr>
      <w:tr>
        <w:trPr>
          <w:trHeight w:val="217"/>
        </w:trPr>
        <w:tc>
          <w:tcPr>
            <w:tcW w:w="55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44,714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38,185</w:t>
            </w:r>
          </w:p>
        </w:tc>
      </w:tr>
    </w:tbl>
    <w:p>
      <w:pPr>
        <w:spacing w:after="0" w:line="194"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and construction prepayments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has deposits for BVVE and electrical components in the amount of $32,642, which includes $17,561 of credits for orders placed at fixed prices, but not yet received, as described below, with a book value of $11,330 due to previously recorded impairments of $6,231. In addition, the Company has deposits for construction work and materials in the amount of $7,171, mainly for the Paraguay expansion.</w:t>
      </w:r>
    </w:p>
    <w:p>
      <w:pPr>
        <w:spacing w:after="0" w:line="186"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which was fully utilized during the year ended December 31, 2023 for the acquisition of hydro Miners and hydro containers. These items were not received as of December 31, 2023 and are scheduled to be received in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placed a firm purchase order for 35,888 Bitmain T21 Miners totaling $95,462 with deliveries scheduled from March 2024 to May 2024 and made a non-refundable deposit of $9,464. In addition, the Company secured a purchase option for an additional 28,000 Bitmain T21 Miners totaling $74,480 and made a non-refundable deposit of $7,448. This purchase option gives the Company the right, exercisable until December 31, 2024, but not the obligation, to purchase, in whole or in part, 28,000 additional Bitmain T21 Miners.</w:t>
      </w:r>
    </w:p>
    <w:p>
      <w:pPr>
        <w:spacing w:after="0" w:line="176"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remaining payment obligations in connection with the 35,888 Bitmain T21 Miners purchase order are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18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March 31, 2024</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41,446</w:t>
            </w:r>
          </w:p>
        </w:tc>
      </w:tr>
      <w:tr>
        <w:trPr>
          <w:trHeight w:val="216"/>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44,551</w:t>
            </w:r>
          </w:p>
        </w:tc>
      </w:tr>
      <w:tr>
        <w:trPr>
          <w:trHeight w:val="217"/>
        </w:trPr>
        <w:tc>
          <w:tcPr>
            <w:tcW w:w="6180" w:type="dxa"/>
            <w:vAlign w:val="bottom"/>
            <w:tcBorders>
              <w:bottom w:val="single" w:sz="8" w:color="auto"/>
            </w:tcBorders>
            <w:shd w:val="clear" w:color="auto" w:fill="CCEEFF"/>
          </w:tcPr>
          <w:p>
            <w:pPr>
              <w:spacing w:after="0"/>
              <w:rPr>
                <w:sz w:val="18"/>
                <w:szCs w:val="18"/>
                <w:color w:val="auto"/>
              </w:rPr>
            </w:pPr>
          </w:p>
        </w:tc>
        <w:tc>
          <w:tcPr>
            <w:tcW w:w="5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85,997</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If the Company is unable to meet its payment obligations, it could result in the loss of equipment prepayments and deposits paid by the Company under the purchase order and remedial legal measures taken against the Company which may include damages and forced continuance of the contractual arrangement. Under such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COMMITMENTS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TRADE PAYABLES AND ACCRUED LIABILITIES</w:t>
            </w:r>
          </w:p>
        </w:tc>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12,897</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11,662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7,644</w:t>
            </w:r>
          </w:p>
        </w:tc>
      </w:tr>
      <w:tr>
        <w:trPr>
          <w:trHeight w:val="217"/>
        </w:trPr>
        <w:tc>
          <w:tcPr>
            <w:tcW w:w="650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20,739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20,541</w:t>
            </w: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LONG-TERM DEBT</w:t>
            </w: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47,020</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 loans</w:t>
            </w:r>
          </w:p>
        </w:tc>
        <w:tc>
          <w:tcPr>
            <w:tcW w:w="3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(43,054)</w:t>
            </w: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3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w:t>
            </w:r>
          </w:p>
        </w:tc>
      </w:tr>
      <w:tr>
        <w:trPr>
          <w:trHeight w:val="432"/>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6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65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47,147</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11,167</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67,201</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(12,580)</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7,311</w:t>
            </w:r>
          </w:p>
        </w:tc>
      </w:tr>
      <w:tr>
        <w:trPr>
          <w:trHeight w:val="217"/>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right="7960" w:firstLine="8"/>
        <w:spacing w:after="0" w:line="263" w:lineRule="auto"/>
        <w:tabs>
          <w:tab w:leader="none" w:pos="65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financing activity </w:t>
      </w:r>
      <w:r>
        <w:rPr>
          <w:rFonts w:ascii="Times New Roman" w:cs="Times New Roman" w:eastAsia="Times New Roman" w:hAnsi="Times New Roman"/>
          <w:sz w:val="18"/>
          <w:szCs w:val="18"/>
          <w:b w:val="1"/>
          <w:bCs w:val="1"/>
          <w:i w:val="1"/>
          <w:iCs w:val="1"/>
          <w:color w:val="auto"/>
        </w:rPr>
        <w:t>Repayment of Foundry Loans #2, #3 and #4</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the loan with BlockFi Lending LLC (“BlockFi”)</w:t>
      </w:r>
    </w:p>
    <w:p>
      <w:pPr>
        <w:spacing w:after="0" w:line="31"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righ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year ended December 31, 2023. Upon settlement, all of Backbone Mining’s assets, including the 6,100 Miners collateralizing the loan, were unencumbered.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NYDIG Loan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is required to maintain in a segregated wallet an approximate quantity of BTC whose value equates to at least one month of interest and principal payments on the outstanding loan. The Company pledged 50 BTC as collateral with a fair market value of $2,101 as of December 31, 2023. The pledged BTC is held in a segregated Coinbase Custody account, which BTC is owned by the Company unless there is an event of default under the NYDIG Loan.</w:t>
      </w:r>
    </w:p>
    <w:p>
      <w:pPr>
        <w:spacing w:after="0" w:line="186"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equipment financing</w:t>
      </w:r>
    </w:p>
    <w:p>
      <w:pPr>
        <w:spacing w:after="0" w:line="31" w:lineRule="exact"/>
        <w:rPr>
          <w:sz w:val="20"/>
          <w:szCs w:val="20"/>
          <w:color w:val="auto"/>
        </w:rPr>
      </w:pPr>
    </w:p>
    <w:p>
      <w:pPr>
        <w:ind w:hanging="4"/>
        <w:spacing w:after="0" w:line="260" w:lineRule="auto"/>
        <w:rPr>
          <w:sz w:val="20"/>
          <w:szCs w:val="20"/>
          <w:color w:val="auto"/>
        </w:rPr>
      </w:pPr>
      <w:r>
        <w:rPr>
          <w:rFonts w:ascii="Times New Roman" w:cs="Times New Roman" w:eastAsia="Times New Roman" w:hAnsi="Times New Roman"/>
          <w:sz w:val="18"/>
          <w:szCs w:val="18"/>
          <w:color w:val="auto"/>
        </w:rPr>
        <w:t>As of December 31, 2023, the Company’s equipment financing consisted only of the NYDIG Loan. The NYDIG Loan balance and the net book value (“NBV”) of its related collateral, as of December 31, 2023,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NBV of</w:t>
            </w:r>
          </w:p>
        </w:tc>
        <w:tc>
          <w:tcPr>
            <w:tcW w:w="1240" w:type="dxa"/>
            <w:vAlign w:val="bottom"/>
          </w:tcPr>
          <w:p>
            <w:pPr>
              <w:spacing w:after="0"/>
              <w:rPr>
                <w:sz w:val="18"/>
                <w:szCs w:val="18"/>
                <w:color w:val="auto"/>
              </w:rPr>
            </w:pPr>
          </w:p>
        </w:tc>
      </w:tr>
      <w:tr>
        <w:trPr>
          <w:trHeight w:val="238"/>
        </w:trPr>
        <w:tc>
          <w:tcPr>
            <w:tcW w:w="15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Stated rate</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Effective rate*</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repayment ($)</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w:t>
            </w: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Collateral ($)</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Collateral**</w:t>
            </w:r>
          </w:p>
        </w:tc>
      </w:tr>
      <w:tr>
        <w:trPr>
          <w:trHeight w:val="217"/>
        </w:trPr>
        <w:tc>
          <w:tcPr>
            <w:tcW w:w="1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NYDIG Loan</w:t>
            </w:r>
          </w:p>
        </w:tc>
        <w:tc>
          <w:tcPr>
            <w:tcW w:w="1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February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21,840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10,395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implied interest rate after capitalizing financing and origination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quantity of WhatsMiners received in connection with the equipment financing and pledged as collateral for the related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the NYDIG Loan balance was fully repaid, and the Company’s 10,395 Miners collateralizing the loan and BTC pledged as collateral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tab/>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out below are the carrying amounts of the Company’s right-of-use (“ROU”) assets and lease liabilities and their activity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17,864</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534</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1,553</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(213)</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(42)</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(5,025)</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1,391</w:t>
            </w:r>
          </w:p>
        </w:tc>
      </w:tr>
      <w:tr>
        <w:trPr>
          <w:trHeight w:val="216"/>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09"/>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1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12,993</w:t>
            </w:r>
          </w:p>
        </w:tc>
      </w:tr>
      <w:tr>
        <w:trPr>
          <w:trHeight w:val="410"/>
        </w:trPr>
        <w:tc>
          <w:tcPr>
            <w:tcW w:w="4060" w:type="dxa"/>
            <w:vAlign w:val="bottom"/>
          </w:tcPr>
          <w:p>
            <w:pPr>
              <w:spacing w:after="0"/>
              <w:rPr>
                <w:sz w:val="24"/>
                <w:szCs w:val="24"/>
                <w:color w:val="auto"/>
              </w:rPr>
            </w:pP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0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10"/>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9,038</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283</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9,397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13,573</w:t>
            </w: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9,526</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1,693</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11,337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11,354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(1,975)</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(2,225)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(791)</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(1,243)</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(2,034)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r>
      <w:tr>
        <w:trPr>
          <w:trHeight w:val="216"/>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09"/>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2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17"/>
        </w:trPr>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r>
    </w:tbl>
    <w:p>
      <w:pPr>
        <w:spacing w:after="0" w:line="194" w:lineRule="exact"/>
        <w:rPr>
          <w:sz w:val="20"/>
          <w:szCs w:val="20"/>
          <w:color w:val="auto"/>
        </w:rPr>
      </w:pPr>
    </w:p>
    <w:p>
      <w:pPr>
        <w:ind w:right="9080" w:firstLine="8"/>
        <w:spacing w:after="0" w:line="263" w:lineRule="auto"/>
        <w:tabs>
          <w:tab w:leader="none" w:pos="64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lease activities Reliz Lease</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2023, the Company negotiated a modification to its lease agreement with Reliz Ltd. (where BlockFi was the lender to Reliz Ltd.) in order to settle its outstanding lease liability of $373 for a payment of $118. Refer to Note 28 for more details.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5, 2023, in conjunction with the Baie-Comeau acquisition, the Company entered into a lease agreement with a third party for a site to install the infrastructure to operate the acquired capacity. The lease agreement is for an industrial site in Baie-Comeau for an initial term of 10 years at $16 (CAD$21) a month with an annual adjustment at the lesser of (i) the change in the Consumer Price Index and (ii) 3%. The lease agreement also provides the Company with the option to purchase the site for $2,248 (CAD$3,000) with an annual adjustment at the lesser of (i) the change in the Consumer Price Index and (ii) 3% throughout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2022 lease activities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maintained one lease agreement for Mining hardware, consisting of 3,000 WhatsMiner M31S+ Miners, with a net book value of approximately $3,330, classified as property, plant and equipment under BVVE and electrical equipment as described in Note 13.</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an impairment loss of $2,034 on the Company’s ROU assets. Refer to Note 12 for more details.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w:t>
            </w:r>
          </w:p>
        </w:tc>
        <w:tc>
          <w:tcPr>
            <w:tcW w:w="9280" w:type="dxa"/>
            <w:vAlign w:val="bottom"/>
          </w:tcPr>
          <w:p>
            <w:pPr>
              <w:jc w:val="right"/>
              <w:ind w:right="775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20" w:type="dxa"/>
            <w:vAlign w:val="bottom"/>
          </w:tcPr>
          <w:p>
            <w:pPr>
              <w:spacing w:after="0"/>
              <w:rPr>
                <w:sz w:val="20"/>
                <w:szCs w:val="20"/>
                <w:color w:val="auto"/>
              </w:rPr>
            </w:pPr>
          </w:p>
        </w:tc>
      </w:tr>
      <w:tr>
        <w:trPr>
          <w:trHeight w:val="432"/>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tc>
        <w:tc>
          <w:tcPr>
            <w:tcW w:w="1020" w:type="dxa"/>
            <w:vAlign w:val="bottom"/>
          </w:tcPr>
          <w:p>
            <w:pPr>
              <w:spacing w:after="0"/>
              <w:rPr>
                <w:sz w:val="24"/>
                <w:szCs w:val="24"/>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940" w:type="dxa"/>
            <w:vAlign w:val="bottom"/>
            <w:tcBorders>
              <w:bottom w:val="single" w:sz="8" w:color="auto"/>
            </w:tcBorders>
          </w:tcPr>
          <w:p>
            <w:pPr>
              <w:spacing w:after="0"/>
              <w:rPr>
                <w:sz w:val="18"/>
                <w:szCs w:val="18"/>
                <w:color w:val="auto"/>
              </w:rPr>
            </w:pPr>
          </w:p>
        </w:tc>
        <w:tc>
          <w:tcPr>
            <w:tcW w:w="9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102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2,679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r>
      <w:tr>
        <w:trPr>
          <w:trHeight w:val="216"/>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9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252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940" w:type="dxa"/>
            <w:vAlign w:val="bottom"/>
            <w:tcBorders>
              <w:bottom w:val="single" w:sz="8" w:color="auto"/>
            </w:tcBorders>
            <w:shd w:val="clear" w:color="auto" w:fill="CCEEFF"/>
          </w:tcPr>
          <w:p>
            <w:pPr>
              <w:spacing w:after="0"/>
              <w:rPr>
                <w:sz w:val="18"/>
                <w:szCs w:val="18"/>
                <w:color w:val="auto"/>
              </w:rPr>
            </w:pPr>
          </w:p>
        </w:tc>
        <w:tc>
          <w:tcPr>
            <w:tcW w:w="9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2,931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r>
      <w:tr>
        <w:trPr>
          <w:trHeight w:val="209"/>
        </w:trPr>
        <w:tc>
          <w:tcPr>
            <w:tcW w:w="94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(recovery):</w:t>
            </w:r>
          </w:p>
        </w:tc>
        <w:tc>
          <w:tcPr>
            <w:tcW w:w="102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(4,703)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16"/>
        </w:trPr>
        <w:tc>
          <w:tcPr>
            <w:tcW w:w="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9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1,371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940" w:type="dxa"/>
            <w:vAlign w:val="bottom"/>
            <w:tcBorders>
              <w:bottom w:val="single" w:sz="8" w:color="auto"/>
            </w:tcBorders>
          </w:tcPr>
          <w:p>
            <w:pPr>
              <w:spacing w:after="0"/>
              <w:rPr>
                <w:sz w:val="18"/>
                <w:szCs w:val="18"/>
                <w:color w:val="auto"/>
              </w:rPr>
            </w:pPr>
          </w:p>
        </w:tc>
        <w:tc>
          <w:tcPr>
            <w:tcW w:w="9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(3,332)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17"/>
        </w:trPr>
        <w:tc>
          <w:tcPr>
            <w:tcW w:w="940" w:type="dxa"/>
            <w:vAlign w:val="bottom"/>
            <w:tcBorders>
              <w:bottom w:val="single" w:sz="8" w:color="auto"/>
            </w:tcBorders>
            <w:shd w:val="clear" w:color="auto" w:fill="CCEEFF"/>
          </w:tcPr>
          <w:p>
            <w:pPr>
              <w:spacing w:after="0"/>
              <w:rPr>
                <w:sz w:val="18"/>
                <w:szCs w:val="18"/>
                <w:color w:val="auto"/>
              </w:rPr>
            </w:pPr>
          </w:p>
        </w:tc>
        <w:tc>
          <w:tcPr>
            <w:tcW w:w="92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2022 current tax recovery represents the expected tax refund as a result of losses realized in 2022 that will be carried back to offset prior period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r>
      <w:tr>
        <w:trPr>
          <w:trHeight w:val="234"/>
        </w:trPr>
        <w:tc>
          <w:tcPr>
            <w:tcW w:w="55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2022 (restated - Note 3e)</w:t>
            </w:r>
          </w:p>
        </w:tc>
      </w:tr>
      <w:tr>
        <w:trPr>
          <w:trHeight w:val="21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at statutory rate of 26.5%</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(27,676)</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(51,160)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(103)</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0.1%</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1,070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year</w:t>
            </w:r>
          </w:p>
        </w:tc>
        <w:tc>
          <w:tcPr>
            <w:tcW w:w="1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1,623</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Non-taxable warrant loss (gain) and other permanent differences</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22,096</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(21.2)%</w:t>
            </w:r>
          </w:p>
        </w:tc>
        <w:tc>
          <w:tcPr>
            <w:tcW w:w="13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(16,894)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1"/>
        </w:trPr>
        <w:tc>
          <w:tcPr>
            <w:tcW w:w="5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3,659</w:t>
            </w: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49,508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6"/>
        </w:trPr>
        <w:tc>
          <w:tcPr>
            <w:tcW w:w="55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(401)</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0.3%</w:t>
            </w: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(17,412)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 As at December 31, 2023, the Company has analyzed the recoverability of its deferred tax assets and has concluded that it is not more likely than not that sufficient taxable profit is expected to utilize these deferred tax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asset for the years ending December 31, 2023 and 2022,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98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fees</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PPE</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3,751</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1,288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43,713</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1,020</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144</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15,855</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11,335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72,109</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profit or loss</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(43,713)</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(5,795)</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statements of equity</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(3,895)</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4,161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10,538</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12,623</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27,448</w:t>
            </w:r>
          </w:p>
        </w:tc>
        <w:tc>
          <w:tcPr>
            <w:tcW w:w="0" w:type="dxa"/>
            <w:vAlign w:val="bottom"/>
          </w:tcPr>
          <w:p>
            <w:pPr>
              <w:spacing w:after="0"/>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52,743</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3,332</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(5,884)</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(6,564)</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43,500</w:t>
            </w:r>
          </w:p>
        </w:tc>
        <w:tc>
          <w:tcPr>
            <w:tcW w:w="0" w:type="dxa"/>
            <w:vAlign w:val="bottom"/>
          </w:tcPr>
          <w:p>
            <w:pPr>
              <w:spacing w:after="0"/>
              <w:rPr>
                <w:sz w:val="1"/>
                <w:szCs w:val="1"/>
                <w:color w:val="auto"/>
              </w:rPr>
            </w:pPr>
          </w:p>
        </w:tc>
      </w:tr>
      <w:tr>
        <w:trPr>
          <w:trHeight w:val="198"/>
        </w:trPr>
        <w:tc>
          <w:tcPr>
            <w:tcW w:w="3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(45,377)</w:t>
            </w: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(45,377)</w:t>
            </w: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statements of profit or loss</w:t>
            </w:r>
          </w:p>
        </w:tc>
        <w:tc>
          <w:tcPr>
            <w:tcW w:w="130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w:t>
            </w:r>
          </w:p>
        </w:tc>
        <w:tc>
          <w:tcPr>
            <w:tcW w:w="13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(3,332)</w:t>
            </w: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(3,332)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statements of equity</w:t>
            </w:r>
          </w:p>
        </w:tc>
        <w:tc>
          <w:tcPr>
            <w:tcW w:w="1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7,366</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4,020</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4,654</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6,059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22,239</w:t>
            </w:r>
          </w:p>
        </w:tc>
        <w:tc>
          <w:tcPr>
            <w:tcW w:w="0" w:type="dxa"/>
            <w:vAlign w:val="bottom"/>
          </w:tcPr>
          <w:p>
            <w:pPr>
              <w:spacing w:after="0"/>
              <w:rPr>
                <w:sz w:val="1"/>
                <w:szCs w:val="1"/>
                <w:color w:val="auto"/>
              </w:rPr>
            </w:pPr>
          </w:p>
        </w:tc>
      </w:tr>
      <w:tr>
        <w:trPr>
          <w:trHeight w:val="194"/>
        </w:trPr>
        <w:tc>
          <w:tcPr>
            <w:tcW w:w="3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Offsetting deferred tax liabilities as of</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(22,239)</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deferred tax assets as of December 31,</w:t>
            </w:r>
          </w:p>
        </w:tc>
        <w:tc>
          <w:tcPr>
            <w:tcW w:w="1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liability for the years ending December 31, 2023 and 2022,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1040" w:type="dxa"/>
            <w:vAlign w:val="bottom"/>
          </w:tcPr>
          <w:p>
            <w:pPr>
              <w:spacing w:after="0"/>
              <w:rPr>
                <w:sz w:val="18"/>
                <w:szCs w:val="18"/>
                <w:color w:val="auto"/>
              </w:rPr>
            </w:pPr>
          </w:p>
        </w:tc>
      </w:tr>
      <w:tr>
        <w:trPr>
          <w:trHeight w:val="238"/>
        </w:trPr>
        <w:tc>
          <w:tcPr>
            <w:tcW w:w="5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PPE</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2022</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9,287</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4,010</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13,297</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Charged to statements of profit or loss</w:t>
            </w:r>
          </w:p>
        </w:tc>
        <w:tc>
          <w:tcPr>
            <w:tcW w:w="2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12,231</w:t>
            </w: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1,920</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14,151</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2022</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21,518</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5,930</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27,448</w:t>
            </w:r>
          </w:p>
        </w:tc>
      </w:tr>
      <w:tr>
        <w:trPr>
          <w:trHeight w:val="216"/>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2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(4,164)</w:t>
            </w: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(2,333)</w:t>
            </w: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(5,209)</w:t>
            </w: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17,354</w:t>
            </w:r>
          </w:p>
        </w:tc>
        <w:tc>
          <w:tcPr>
            <w:tcW w:w="1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3,597</w:t>
            </w:r>
          </w:p>
        </w:tc>
        <w:tc>
          <w:tcPr>
            <w:tcW w:w="14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22,239</w:t>
            </w:r>
          </w:p>
        </w:tc>
      </w:tr>
      <w:tr>
        <w:trPr>
          <w:trHeight w:val="223"/>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Offsetting deferred tax assets as of December 31, 2023</w:t>
            </w:r>
          </w:p>
        </w:tc>
        <w:tc>
          <w:tcPr>
            <w:tcW w:w="20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(22,239)</w:t>
            </w:r>
          </w:p>
        </w:tc>
      </w:tr>
      <w:tr>
        <w:trPr>
          <w:trHeight w:val="223"/>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 as of December 31, 2023</w:t>
            </w:r>
          </w:p>
        </w:tc>
        <w:tc>
          <w:tcPr>
            <w:tcW w:w="20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  ASSET RETIREMENT PROVISION</w:t>
            </w:r>
          </w:p>
        </w:tc>
        <w:tc>
          <w:tcPr>
            <w:tcW w:w="36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59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9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1,979</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3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the foreign exchange rate</w:t>
            </w:r>
          </w:p>
        </w:tc>
        <w:tc>
          <w:tcPr>
            <w:tcW w:w="3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3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estimated the costs of restoring its leased premises to their original state at the end of their respective lease terms to be $4,326 (December 31, 2022: $3,950), discounted to present value of $1,816 (December 31, 2022: $1,979) using annual discount rates between 7% and 17% (December 31, 2022: between 7% and 10%) over the lease periods, which were estimated to range from seven to ten years depending on the location.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 of change in discount rate was accounted for as a reduction of asset retirement provision totaling $598 and a decrease of $499 in the related property, plant and equipment. As the decrease in the asset retirement provision exceeded the carrying amount of the related property, plant and equipment, the excess of $99 was recognized as a gain in the consolidated statements of profit or loss and comprehensive profit or loss under Net financial expenses (income).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December 31, 2023, the Company had 334,153,000 issued and outstanding common shares (December 31, 2022: 224,200,000).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80" w:type="dxa"/>
            <w:vAlign w:val="bottom"/>
            <w:tcBorders>
              <w:bottom w:val="single" w:sz="8" w:color="auto"/>
            </w:tcBorders>
          </w:tcPr>
          <w:p>
            <w:pPr>
              <w:spacing w:after="0"/>
              <w:rPr>
                <w:sz w:val="20"/>
                <w:szCs w:val="20"/>
                <w:color w:val="auto"/>
              </w:rPr>
            </w:pPr>
          </w:p>
        </w:tc>
      </w:tr>
      <w:tr>
        <w:trPr>
          <w:trHeight w:val="210"/>
        </w:trPr>
        <w:tc>
          <w:tcPr>
            <w:tcW w:w="40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187"/>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5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00" w:type="dxa"/>
            <w:vAlign w:val="bottom"/>
          </w:tcPr>
          <w:p>
            <w:pPr>
              <w:spacing w:after="0"/>
              <w:rPr>
                <w:sz w:val="16"/>
                <w:szCs w:val="16"/>
                <w:color w:val="auto"/>
              </w:rPr>
            </w:pPr>
          </w:p>
        </w:tc>
        <w:tc>
          <w:tcPr>
            <w:tcW w:w="138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020" w:type="dxa"/>
            <w:vAlign w:val="bottom"/>
          </w:tcPr>
          <w:p>
            <w:pPr>
              <w:spacing w:after="0"/>
              <w:rPr>
                <w:sz w:val="18"/>
                <w:szCs w:val="18"/>
                <w:color w:val="auto"/>
              </w:rPr>
            </w:pPr>
          </w:p>
        </w:tc>
        <w:tc>
          <w:tcPr>
            <w:tcW w:w="3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40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warrants</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19,153,000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4.21</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19,428,000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25,222,000</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25,000</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(9,270,000)</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7"/>
        </w:trPr>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w:t>
            </w:r>
          </w:p>
        </w:tc>
        <w:tc>
          <w:tcPr>
            <w:tcW w:w="3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35,105,000</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19,153,000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December 31, 2023 was 1.6 years (December 31, 2022: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transactions</w:t>
      </w:r>
    </w:p>
    <w:p>
      <w:pPr>
        <w:spacing w:after="0" w:line="31"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Garlock Acquisition</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the first quarter of 2022, the Company acquired a building in Quebec referred to as “Garlock” in exchange for cash consideration of $1,783 and the issuance of 25,000 warrants granted with a strike price of $3.47 and a contractual life of 2 years.</w:t>
      </w:r>
    </w:p>
    <w:p>
      <w:pPr>
        <w:spacing w:after="0" w:line="166"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offering program (the “ATM program”) on August 16, 2021, pursuant to which the Company may, at its discretion and from time-to-time, sell common shares of the Company, resulting in the Company receiving aggregate proceeds of up to $500,000. The ATM program expired on September 12, 2023.</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52,121,000 common shares in the ATM program in exchange for gross proceeds of $70,770 at an average share price of approximately $1.36. The Company received net proceeds of $68,504 after paying commissions of $2,187 to the sales agent for the program and $79 in other transaction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issued 29,324,000 common shares in the ATM program in exchange for gross proceeds of $55,960 at an average share price of approximately $1.91. The Company received net proceeds of $54,086 after paying commissions of $1,791 to the sales agent and $83 in other transaction costs.</w:t>
      </w:r>
    </w:p>
    <w:p>
      <w:pPr>
        <w:spacing w:after="0" w:line="160"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option holders exercised stock options to acquire 3,047,000 common shares (year ended December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 resulting in proceeds of approximately $1,999 (year ended December 31, 2022: $21) being paid to the Company.</w:t>
      </w:r>
    </w:p>
    <w:p>
      <w:pPr>
        <w:spacing w:after="0" w:line="191"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2023 private placement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for total gross proceeds of $43,799 (CAD$60,000) in exchange for 44,444,000 common shares and 22,222,000 warrants to purchase common shares: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5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28, 2023</w:t>
            </w: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(CAD)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44,444,000</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22,222,000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Warrant strike price (USD)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life (years)</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Commission paid</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warrants issued*</w:t>
            </w:r>
          </w:p>
        </w:tc>
        <w:tc>
          <w:tcPr>
            <w:tcW w:w="5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Broker warrant strike price (USD)</w:t>
            </w:r>
          </w:p>
        </w:tc>
        <w:tc>
          <w:tcPr>
            <w:tcW w:w="5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6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warrant life (years)</w:t>
            </w:r>
          </w:p>
        </w:tc>
        <w:tc>
          <w:tcPr>
            <w:tcW w:w="5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warrants issued are for the purchase of one common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Significant transactions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2023 private placement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20" w:right="20" w:hanging="4"/>
        <w:spacing w:after="0" w:line="260" w:lineRule="auto"/>
        <w:rPr>
          <w:sz w:val="20"/>
          <w:szCs w:val="20"/>
          <w:color w:val="auto"/>
        </w:rPr>
      </w:pPr>
      <w:r>
        <w:rPr>
          <w:rFonts w:ascii="Times New Roman" w:cs="Times New Roman" w:eastAsia="Times New Roman" w:hAnsi="Times New Roman"/>
          <w:sz w:val="18"/>
          <w:szCs w:val="18"/>
          <w:color w:val="auto"/>
        </w:rPr>
        <w:t>In December 2023, 6,963,000 warrants and 2,307,000 broker warrants related to the private placement that closed on November 28, 2023, were exercised resulting in the issuance of 9,270,000 common shares for proceeds of approximately $10,984.</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Black Scholes model and the inputs described in Note 10 were used in determining the values of the warrants and broker warrants prior to their derecognition, which resulted in a non-cash loss on revaluation of warrants of $14,473 included in Net financial expenses (income).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 (restated - Note 3e)</w:t>
            </w: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714</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689</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1,281</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86,722</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31,696</w:t>
            </w:r>
          </w:p>
        </w:tc>
      </w:tr>
      <w:tr>
        <w:trPr>
          <w:trHeight w:val="210"/>
        </w:trPr>
        <w:tc>
          <w:tcPr>
            <w:tcW w:w="5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9,077</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6"/>
        </w:trPr>
        <w:tc>
          <w:tcPr>
            <w:tcW w:w="5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2</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40,426</w:t>
            </w:r>
          </w:p>
        </w:tc>
        <w:tc>
          <w:tcPr>
            <w:tcW w:w="2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53,525</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60,213</w:t>
            </w:r>
          </w:p>
        </w:tc>
      </w:tr>
      <w:tr>
        <w:trPr>
          <w:trHeight w:val="210"/>
        </w:trPr>
        <w:tc>
          <w:tcPr>
            <w:tcW w:w="53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r>
      <w:tr>
        <w:trPr>
          <w:trHeight w:val="216"/>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33,197</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trade receivables, other receivables, trade payables and accrued liabilities and long-term debt presented in the table above are a reasonable approximation of their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expenses (income). The fair value measurement is categorized as Level 2 in the fair value hierarchy, is a recurring measurement and is calculated using a Black-Scholes pricing model at each reporting date.</w:t>
      </w:r>
    </w:p>
    <w:p>
      <w:pPr>
        <w:spacing w:after="0" w:line="172"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foreign currency risk, credit risk, counterparty risk, liquidity risk and concentration risk. The Company’s senior Management monitors these risks. In addition, during 2023, the Company established a Risk Committee to monitor these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 dollars. The Company is exposed to variability in the Canadian dollar and Argentine peso to US dollar exchange rates when making expenditures payable in Canadian dollars and Argentine pesos. The Company funds foreign currency transactions by buying the foreign currency at the spot rate when required. A 5% increase or decrease in the USD/CAD and USD/ARS exchange rates may have an impact of an increase or decrease of $44 on retained earnings at December 31, 2023 (December 31, 2022: $215).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denominated in Canadian dollars and Argentine pesos included in the consolidated statements of financial position, presented in thousands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a of December 31,</w:t>
            </w:r>
          </w:p>
        </w:tc>
        <w:tc>
          <w:tcPr>
            <w:tcW w:w="2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of December 31,</w:t>
            </w:r>
          </w:p>
        </w:tc>
      </w:tr>
      <w:tr>
        <w:trPr>
          <w:trHeight w:val="210"/>
        </w:trPr>
        <w:tc>
          <w:tcPr>
            <w:tcW w:w="46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46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ARS</w:t>
            </w: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CAD</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ARS</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9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8,904</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183</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4,994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714</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9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(8,372)</w:t>
            </w:r>
          </w:p>
        </w:tc>
        <w:tc>
          <w:tcPr>
            <w:tcW w:w="13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8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1,246</w:t>
            </w: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(361)</w:t>
            </w: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(751)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counterparty risk</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of an unexpected loss if a third party fails to meet its contractual obligations, including cash and cash equivalents. The risk regarding cash is mitigated by holding the majority of the Company’s cash with a Canadian chartered bank.</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risk regarding trade receivables is derived mainly from sales to Volta’s third-party customers. The Company performs ongoing credit evaluations of its customers. The Company maintains an allowance for expected credit losses to provide for the estimated amount of doubtful of collection. The allowance for expected credit losses is based on Management’s assessment of a customer’s credit quality as well as subjective factors and trends, including the aging of receivable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a risk that the Company will not be able to pay its financial obligations when they are due. The Company’s policy is to monitor its cash balances and planned cash flows generated from operations to ensure that it maintains sufficient liquidity in order to pay its projected financial liabilities. Refer to Note 2 for more details about the Company’s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undiscounted contractual maturities of financial liabilities with estimated future interest payments as of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4,087</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20,526</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17,186</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future cash payments associated with warrant liabilities, and accordingly, they are not included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portion of its working capital in BTC.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Starting in the first quarter of 2023, the Company purchased BTC option contracts to which gave it the right, but not the obligation, to sell digital assets at a fixed price. Options contracts are used to reduce the risk of BTC price volatility and reduce the variability of cash flows resulting from future sales of digital assets. Refer to Note 10 for more details.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23:  TRANSACTIONS AND BALANCES WITH RELATED PARTIES</w:t>
            </w: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0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70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1,567</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0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1,679</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the Company made rent payments totaling approximately $273 to companies controlled by certain directors of the Company. No such payments were made for the year ended December 31, 2023. The rent payments were classified as interest included in financial expenses and principal repayment of lease liabilities. During the year ended December 31, 2022, the Company’s leases with companies controlled by directors were renewed with third parties.</w:t>
      </w:r>
    </w:p>
    <w:p>
      <w:pPr>
        <w:spacing w:after="0" w:line="18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In December 2022, the Company’s consulting agreements with two of its executive officers were terminated, their roles and responsibilities were reduced and termination payments totaling $1,466 were accrued and included in trade payables and accrued liabilities as at December 31, 2022 (as of December 31, 2023, balance accrued: nil). The consulting fees totaled approximately $1,466 for the year ended December 31, 2022 (for the year ended December 31, 2023: nil).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transactions described above were incurred in the normal course of operations. These transactions are included in the consolidated statements of profit or loss and comprehensive profit or loss as follows:</w:t>
      </w:r>
    </w:p>
    <w:p>
      <w:pPr>
        <w:spacing w:after="0" w:line="1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Borders>
              <w:top w:val="single" w:sz="8" w:color="auto"/>
              <w:bottom w:val="single" w:sz="8" w:color="auto"/>
            </w:tcBorders>
          </w:tcPr>
          <w:p>
            <w:pPr>
              <w:spacing w:after="0"/>
              <w:rPr>
                <w:sz w:val="18"/>
                <w:szCs w:val="18"/>
                <w:color w:val="auto"/>
              </w:rPr>
            </w:pPr>
          </w:p>
        </w:tc>
        <w:tc>
          <w:tcPr>
            <w:tcW w:w="4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4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17"/>
        </w:trPr>
        <w:tc>
          <w:tcPr>
            <w:tcW w:w="6060" w:type="dxa"/>
            <w:vAlign w:val="bottom"/>
            <w:tcBorders>
              <w:bottom w:val="single" w:sz="8" w:color="auto"/>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TRANSACTIONS AND BALANCES WITH RELATED PARTIES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key management and directors</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The Company considers its Directors, Chief Officers and Vice Presidents to be key management personnel. The remuneration paid to directors and other members of key management personnel, to the extent that they are not included in the consulting agreements described above are as follows:</w:t>
      </w:r>
    </w:p>
    <w:p>
      <w:pPr>
        <w:spacing w:after="0" w:line="17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tcBorders>
          </w:tcPr>
          <w:p>
            <w:pPr>
              <w:spacing w:after="0"/>
              <w:rPr>
                <w:sz w:val="18"/>
                <w:szCs w:val="18"/>
                <w:color w:val="auto"/>
              </w:rPr>
            </w:pPr>
          </w:p>
        </w:tc>
        <w:tc>
          <w:tcPr>
            <w:tcW w:w="47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4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1,520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payments</w:t>
            </w:r>
          </w:p>
        </w:tc>
        <w:tc>
          <w:tcPr>
            <w:tcW w:w="4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w:t>
            </w:r>
          </w:p>
        </w:tc>
      </w:tr>
      <w:tr>
        <w:trPr>
          <w:trHeight w:val="216"/>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7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9,169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19,077</w:t>
            </w:r>
          </w:p>
        </w:tc>
      </w:tr>
      <w:tr>
        <w:trPr>
          <w:trHeight w:val="217"/>
        </w:trPr>
        <w:tc>
          <w:tcPr>
            <w:tcW w:w="54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10,689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20,591</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CAPITAL MANAGEMENT POLICIES AND PROCEDURES</w:t>
      </w:r>
    </w:p>
    <w:p>
      <w:pPr>
        <w:spacing w:after="0" w:line="2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Company’s capital management objectives are to maximize the return to its shareholders. The Company’s definition of capital includes all components of equity. Capital for the reporting period is summarized in Note 21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and ensuring sufficient liquidity to pursue organic growth. In order to maintain or adjust the capital structure, the Company may issue new common shares or debt.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tab/>
        <w:t>SUBSIDIARIES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2023, the Company acquired Orion and two corporations in Paraguay. Refer to note 5 for more details. The Company’s significant subsidiaries as of</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Main place of</w:t>
            </w:r>
          </w:p>
        </w:tc>
        <w:tc>
          <w:tcPr>
            <w:tcW w:w="14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Backbone Argentina</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ARG</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Paraguay</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Backbone Mining</w:t>
            </w:r>
          </w:p>
        </w:tc>
        <w:tc>
          <w:tcPr>
            <w:tcW w:w="2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USA</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w:t>
            </w:r>
          </w:p>
        </w:tc>
        <w:tc>
          <w:tcPr>
            <w:tcW w:w="2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w:t>
            </w:r>
          </w:p>
        </w:tc>
        <w:tc>
          <w:tcPr>
            <w:tcW w:w="2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CDA</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Substantially all of the assets, liabilities, revenues, expenses and cash flows in the consolidated financial statements are those of Backbone, Backbone Argentina, Backbone Paraguay, Backbone Mining, Orion and of Volta. Refer to Note 29 for geographic information of revenues and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r>
      <w:r>
        <w:rPr>
          <w:sz w:val="20"/>
          <w:szCs w:val="20"/>
          <w:color w:val="auto"/>
        </w:rPr>
        <w:tab/>
      </w:r>
      <w:r>
        <w:rPr>
          <w:rFonts w:ascii="Times New Roman" w:cs="Times New Roman" w:eastAsia="Times New Roman" w:hAnsi="Times New Roman"/>
          <w:sz w:val="17"/>
          <w:szCs w:val="17"/>
          <w:b w:val="1"/>
          <w:bCs w:val="1"/>
          <w:color w:val="auto"/>
        </w:rPr>
        <w:t>NET EARNINGS (LOSS) PER SHARE</w:t>
      </w:r>
    </w:p>
    <w:p>
      <w:pPr>
        <w:spacing w:after="0" w:line="229"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potentially dilutive securities have not been included in the calculation of diluted earnings (loss) per share because their effect is anti-dilutive. The additional potentially dilutive securities that would have been included in the calculation of diluted earnings per share, had their effect not been anti-dilutive for the year ended December 31, 2023, would have totaled approximately 4,964,000 (year ended December 31, 2022: 1,748,000).</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and restricted stock units (“RSU”) for employees, directors, consultants and former employees received was as follows:</w:t>
      </w:r>
    </w:p>
    <w:p>
      <w:pPr>
        <w:spacing w:after="0" w:line="1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4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On March 31, 2023, upon the voluntary surrender by option holders, the Company cancelled outstanding options exercisable for 10,535,000 common shares. The Company intended, but had no obligation, to the persons who formerly held the cancelled options to grant new options no less than 90 days after the cancellation date of the original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first quarter of 2023</w:t>
      </w:r>
    </w:p>
    <w:p>
      <w:pPr>
        <w:spacing w:after="0" w:line="187"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Board of Directors approved stock option grants to purchase 13,156,000 common shares in accordance with the Long-Term Incentive Plan (the “LTIP Plan”) adopted on May 18, 2021 (year ended December 31, 2022: 9,592,000 common shares). All options issued according to the LTIP Plan become exercisable when they vest and can be exercised for a maximum period of 5 years from the date of the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10"/>
        </w:trPr>
        <w:tc>
          <w:tcPr>
            <w:tcW w:w="4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41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46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2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1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180" w:type="dxa"/>
            <w:vAlign w:val="bottom"/>
          </w:tcPr>
          <w:p>
            <w:pPr>
              <w:spacing w:after="0"/>
              <w:rPr>
                <w:sz w:val="18"/>
                <w:szCs w:val="18"/>
                <w:color w:val="auto"/>
              </w:rPr>
            </w:pP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38"/>
        </w:trPr>
        <w:tc>
          <w:tcPr>
            <w:tcW w:w="4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10"/>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21,804,000</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3.47</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12,547,000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13,156,000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2.58</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9,592,000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(3,047,000)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0.85</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(70,000)</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(205,000)</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3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(10,634,000)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5.15</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(340,000)</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5.47</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4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20,939,000</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21,804,000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December 31,</w:t>
            </w:r>
          </w:p>
        </w:tc>
        <w:tc>
          <w:tcPr>
            <w:tcW w:w="3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11,113,000</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2,306,000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r>
      <w:tr>
        <w:trPr>
          <w:trHeight w:val="234"/>
        </w:trPr>
        <w:tc>
          <w:tcPr>
            <w:tcW w:w="9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of December 31, 2023 was 4.1 years (December 31, 2022: 4.0 years).</w:t>
            </w:r>
          </w:p>
        </w:tc>
        <w:tc>
          <w:tcPr>
            <w:tcW w:w="1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22,</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0.84</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8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8,471,000</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4,685,000</w:t>
            </w: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 (“RSU”)</w:t>
            </w:r>
          </w:p>
        </w:tc>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RSUs are as follows:</w:t>
            </w:r>
          </w:p>
        </w:tc>
        <w:tc>
          <w:tcPr>
            <w:tcW w:w="2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r>
      <w:tr>
        <w:trPr>
          <w:trHeight w:val="209"/>
        </w:trPr>
        <w:tc>
          <w:tcPr>
            <w:tcW w:w="45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87"/>
        </w:trPr>
        <w:tc>
          <w:tcPr>
            <w:tcW w:w="4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6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00" w:type="dxa"/>
            <w:vAlign w:val="bottom"/>
          </w:tcPr>
          <w:p>
            <w:pPr>
              <w:spacing w:after="0"/>
              <w:rPr>
                <w:sz w:val="16"/>
                <w:szCs w:val="16"/>
                <w:color w:val="auto"/>
              </w:rPr>
            </w:pPr>
          </w:p>
        </w:tc>
        <w:tc>
          <w:tcPr>
            <w:tcW w:w="13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4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16"/>
        </w:trPr>
        <w:tc>
          <w:tcPr>
            <w:tcW w:w="4500" w:type="dxa"/>
            <w:vAlign w:val="bottom"/>
          </w:tcPr>
          <w:p>
            <w:pPr>
              <w:spacing w:after="0"/>
              <w:rPr>
                <w:sz w:val="18"/>
                <w:szCs w:val="18"/>
                <w:color w:val="auto"/>
              </w:rPr>
            </w:pPr>
          </w:p>
        </w:tc>
        <w:tc>
          <w:tcPr>
            <w:tcW w:w="2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38"/>
        </w:trPr>
        <w:tc>
          <w:tcPr>
            <w:tcW w:w="45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($CAD)</w:t>
            </w:r>
          </w:p>
        </w:tc>
      </w:tr>
      <w:tr>
        <w:trPr>
          <w:trHeight w:val="210"/>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8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475,000</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3.83</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200,000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3.13</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2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625,000</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4.05</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On December 22, 2023, the Board of Directors approved the grant of 475,000 RSUs (year ended December 31, 2022: 200,000 RSUs) to certain members of senior Management and to the Directors which vest 25% at the time of grant and an additional 25% every 6 months. The value of the RSUs on the grant date was $2.89 per unit (year ended December 31, 2022: $1.91 per unit).</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Borders>
              <w:top w:val="single" w:sz="8" w:color="auto"/>
              <w:bottom w:val="single" w:sz="8" w:color="auto"/>
            </w:tcBorders>
          </w:tcPr>
          <w:p>
            <w:pPr>
              <w:spacing w:after="0"/>
              <w:rPr>
                <w:sz w:val="18"/>
                <w:szCs w:val="18"/>
                <w:color w:val="auto"/>
              </w:rPr>
            </w:pPr>
          </w:p>
        </w:tc>
        <w:tc>
          <w:tcPr>
            <w:tcW w:w="42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4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78,942</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56,415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4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2,580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r>
      <w:tr>
        <w:trPr>
          <w:trHeight w:val="216"/>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4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1,561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5940" w:type="dxa"/>
            <w:vAlign w:val="bottom"/>
            <w:tcBorders>
              <w:bottom w:val="single" w:sz="8" w:color="auto"/>
            </w:tcBorders>
            <w:shd w:val="clear" w:color="auto" w:fill="CCEEFF"/>
          </w:tcPr>
          <w:p>
            <w:pPr>
              <w:spacing w:after="0"/>
              <w:rPr>
                <w:sz w:val="18"/>
                <w:szCs w:val="18"/>
                <w:color w:val="auto"/>
              </w:rPr>
            </w:pPr>
          </w:p>
        </w:tc>
        <w:tc>
          <w:tcPr>
            <w:tcW w:w="42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NOTE 28: 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share-based payments</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24,105</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30,040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12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7,608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5,668</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12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1,018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491</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7"/>
        </w:trPr>
        <w:tc>
          <w:tcPr>
            <w:tcW w:w="61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expenses (income)</w:t>
            </w:r>
          </w:p>
        </w:tc>
        <w:tc>
          <w:tcPr>
            <w:tcW w:w="2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2120" w:type="dxa"/>
            <w:vAlign w:val="bottom"/>
            <w:vMerge w:val="restart"/>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2022 (restated</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Note 3e)</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38,088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1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a</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212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88"/>
              </w:rPr>
              <w:t>b</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7,842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credit facility and long-term debt</w:t>
            </w:r>
          </w:p>
        </w:tc>
        <w:tc>
          <w:tcPr>
            <w:tcW w:w="212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2,688</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Provision expense on VAT receivable</w:t>
            </w:r>
          </w:p>
        </w:tc>
        <w:tc>
          <w:tcPr>
            <w:tcW w:w="212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c</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5,903</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1,391</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(income) expenses</w:t>
            </w:r>
          </w:p>
        </w:tc>
        <w:tc>
          <w:tcPr>
            <w:tcW w:w="2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896</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 funded its expansion in Argentina through the acquisition of marketable securities and the in-kind contribution of those securities to the Company’s subsidiary in Argentina. The subsequent disposition of those marketable securities in exchange for Argentine Pesos gave rise to a gain as the amount received in ARS exceeds the amount of ARS the Company would have received from a direct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0" w:hanging="9"/>
        <w:spacing w:after="0" w:line="263" w:lineRule="auto"/>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 xml:space="preserve"> </w:t>
      </w:r>
      <w:r>
        <w:rPr>
          <w:rFonts w:ascii="Times New Roman" w:cs="Times New Roman" w:eastAsia="Times New Roman" w:hAnsi="Times New Roman"/>
          <w:sz w:val="18"/>
          <w:szCs w:val="18"/>
          <w:b w:val="1"/>
          <w:bCs w:val="1"/>
          <w:color w:val="auto"/>
        </w:rPr>
        <w:t xml:space="preserve">ADDITIONAL DETAILS TO THE STATEMENT OF PROFIT OR LOSS AND COMPREHENSIVE PROFIT OR LOSS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financial expenses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extinguishment of the BlockFi loan and Reliz lease liability</w:t>
      </w:r>
    </w:p>
    <w:p>
      <w:pPr>
        <w:spacing w:after="0" w:line="31" w:lineRule="exact"/>
        <w:rPr>
          <w:sz w:val="20"/>
          <w:szCs w:val="20"/>
          <w:color w:val="auto"/>
        </w:rPr>
      </w:pPr>
    </w:p>
    <w:p>
      <w:pPr>
        <w:ind w:left="20" w:hanging="9"/>
        <w:spacing w:after="0" w:line="260" w:lineRule="auto"/>
        <w:rPr>
          <w:sz w:val="20"/>
          <w:szCs w:val="20"/>
          <w:color w:val="auto"/>
        </w:rPr>
      </w:pPr>
      <w:r>
        <w:rPr>
          <w:rFonts w:ascii="Times New Roman" w:cs="Times New Roman" w:eastAsia="Times New Roman" w:hAnsi="Times New Roman"/>
          <w:sz w:val="18"/>
          <w:szCs w:val="18"/>
          <w:color w:val="auto"/>
        </w:rPr>
        <w:t>In February 2023, the Company negotiated a settlement of its loan agreement with BlockFi with a then outstanding debt balance of $20,330 for a payment of $7,750. As a result, a gain on extinguishment of long-term debt was recognized in the amount of $12,580 during the year ended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the Company modified its lease agreement with Reliz Ltd. in order to settle its outstanding lease liability of $373 for a payment of $118.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a gain on extinguishment of lease liabilities was recognized in the amount of $255 during the year ended December 31, 2023.</w:t>
      </w:r>
    </w:p>
    <w:p>
      <w:pPr>
        <w:spacing w:after="0" w:line="203"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expense on VAT receivable</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has recorded a provision to reduce the Argentine VAT receivable to nil. The provision is classified within Net financial expenses (income) during the year ended December 31, 2023. Previously, the Argentine VAT not expected to be settled within the next 12 months was classified as a long-term receivable in Note 15 with the short-term portion included in sales tax receivable in Note 8.</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operating segments based on the products and services of its business units and has one material reportable segment, cryptocurrency Mining, which is the operation of server farms that support the validation and verification of transactions on the BTC blockchain, earning cryptocurrency for providing these services, as described in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Borders>
              <w:top w:val="single" w:sz="8" w:color="auto"/>
              <w:bottom w:val="single" w:sz="8" w:color="auto"/>
            </w:tcBorders>
          </w:tcPr>
          <w:p>
            <w:pPr>
              <w:spacing w:after="0"/>
              <w:rPr>
                <w:sz w:val="18"/>
                <w:szCs w:val="18"/>
                <w:color w:val="auto"/>
              </w:rPr>
            </w:pPr>
          </w:p>
        </w:tc>
        <w:tc>
          <w:tcPr>
            <w:tcW w:w="5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104,434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112,106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5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15,966</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25,095</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5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19,050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5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6,916</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4980" w:type="dxa"/>
            <w:vAlign w:val="bottom"/>
            <w:tcBorders>
              <w:bottom w:val="single" w:sz="8" w:color="auto"/>
            </w:tcBorders>
            <w:shd w:val="clear" w:color="auto" w:fill="CCEEFF"/>
          </w:tcPr>
          <w:p>
            <w:pPr>
              <w:spacing w:after="0"/>
              <w:rPr>
                <w:sz w:val="18"/>
                <w:szCs w:val="18"/>
                <w:color w:val="auto"/>
              </w:rPr>
            </w:pPr>
          </w:p>
        </w:tc>
        <w:tc>
          <w:tcPr>
            <w:tcW w:w="5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142,428</w:t>
            </w:r>
          </w:p>
        </w:tc>
      </w:tr>
    </w:tbl>
    <w:p>
      <w:pPr>
        <w:spacing w:after="0" w:line="198"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years ended December 31, 2023 and 2022, the Company earned 97% and 98% of its revenues, respectively, from one Mining pool. The Company has the ability to switch Mining Pools or to mine independently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 xml:space="preserve">GEOGRAPHICAL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book value of property, plant and equipment by country is as follows:</w:t>
      </w:r>
    </w:p>
    <w:p>
      <w:pPr>
        <w:spacing w:after="0" w:line="203" w:lineRule="exact"/>
        <w:rPr>
          <w:sz w:val="20"/>
          <w:szCs w:val="20"/>
          <w:color w:val="auto"/>
        </w:rPr>
      </w:pPr>
    </w:p>
    <w:p>
      <w:pPr>
        <w:ind w:left="7980"/>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As of December 31,</w:t>
      </w:r>
      <w:r>
        <w:rPr>
          <w:sz w:val="20"/>
          <w:szCs w:val="20"/>
          <w:color w:val="auto"/>
        </w:rPr>
        <w:tab/>
      </w:r>
      <w:r>
        <w:rPr>
          <w:rFonts w:ascii="Times New Roman" w:cs="Times New Roman" w:eastAsia="Times New Roman" w:hAnsi="Times New Roman"/>
          <w:sz w:val="18"/>
          <w:szCs w:val="18"/>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5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101,454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142,654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18,154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32,664</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5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54,657</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31,927</w:t>
            </w:r>
          </w:p>
        </w:tc>
      </w:tr>
      <w:tr>
        <w:trPr>
          <w:trHeight w:val="216"/>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11,747</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12,183</w:t>
            </w:r>
          </w:p>
        </w:tc>
      </w:tr>
      <w:tr>
        <w:trPr>
          <w:trHeight w:val="216"/>
        </w:trPr>
        <w:tc>
          <w:tcPr>
            <w:tcW w:w="774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219,428</w:t>
            </w:r>
          </w:p>
        </w:tc>
      </w:tr>
      <w:tr>
        <w:trPr>
          <w:trHeight w:val="64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30:   ADDITIONAL DETAILS TO THE STATEMENTS OF CASH FLOWS</w:t>
            </w:r>
          </w:p>
        </w:tc>
        <w:tc>
          <w:tcPr>
            <w:tcW w:w="2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7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7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trade receivables, net</w:t>
            </w:r>
          </w:p>
        </w:tc>
        <w:tc>
          <w:tcPr>
            <w:tcW w:w="2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deposits</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2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(315</w:t>
            </w: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2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77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1,354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property, plant and equipment and related lease liabilities</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1,553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2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1,365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2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7,372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54,135</w:t>
            </w:r>
          </w:p>
        </w:tc>
      </w:tr>
      <w:tr>
        <w:trPr>
          <w:trHeight w:val="237"/>
        </w:trPr>
        <w:tc>
          <w:tcPr>
            <w:tcW w:w="7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expense related to equity issuance costs</w:t>
            </w:r>
          </w:p>
        </w:tc>
        <w:tc>
          <w:tcPr>
            <w:tcW w:w="2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873" w:right="339" w:bottom="1440" w:gutter="0" w:footer="0" w:header="0"/>
        </w:sectPr>
      </w:pPr>
    </w:p>
    <w:bookmarkStart w:id="175" w:name="page176"/>
    <w:bookmarkEnd w:id="175"/>
    <w:p>
      <w:pPr>
        <w:ind w:left="900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175895</wp:posOffset>
            </wp:positionV>
            <wp:extent cx="6951980" cy="90011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51980" cy="900112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Fourth Quarter 2023 Financial Results and Operational Highlights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Full year 2023 Results and Operational Highlights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Expansion Projects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Restatement</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Material Accounting Policy Information and New Accounting Policies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Cautionary Note Regarding Non-IFRS and Other Financial Measures and Ratios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420" w:type="dxa"/>
            <w:vAlign w:val="bottom"/>
            <w:gridSpan w:val="26"/>
          </w:tcPr>
          <w:p>
            <w:pPr>
              <w:ind w:left="140"/>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420" w:type="dxa"/>
            <w:vAlign w:val="bottom"/>
            <w:tcBorders>
              <w:right w:val="single" w:sz="8" w:color="CCEEFF"/>
            </w:tcBorders>
            <w:gridSpan w:val="2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439"/>
        </w:trPr>
        <w:tc>
          <w:tcPr>
            <w:tcW w:w="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4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0420" w:type="dxa"/>
            <w:vAlign w:val="bottom"/>
            <w:tcBorders>
              <w:right w:val="single" w:sz="8" w:color="auto"/>
            </w:tcBorders>
            <w:gridSpan w:val="26"/>
          </w:tcPr>
          <w:p>
            <w:pPr>
              <w:ind w:left="1026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March 6, 2024. This MD&amp;A should be read in conjunction with the Company’s audited annual consolidated financial statements and its accompanying notes for the year ended December 31, 2023 (the “Financial Statements”). This MD&amp;A should be read in conjunction with the Company’s Annual Information Form (“AIF”) dated March 6, 2024, which is available on SEDAR+ at www.sedarplus.ca and EDGAR at www.sec.gov/edgar.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(“IFRS Accounting Standards”) as issued by the International Accounting Standards Board (“IASB”). The Company’s Financial Statements and this MD&amp;A are reported in thousands of US dollars and US dollars, respectively, except where otherwise noted.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10 - </w:t>
      </w:r>
      <w:r>
        <w:rPr>
          <w:rFonts w:ascii="Times New Roman" w:cs="Times New Roman" w:eastAsia="Times New Roman" w:hAnsi="Times New Roman"/>
          <w:sz w:val="18"/>
          <w:szCs w:val="18"/>
          <w:i w:val="1"/>
          <w:iCs w:val="1"/>
          <w:color w:val="auto"/>
        </w:rPr>
        <w:t>Non-IFRS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Measures 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to Section 22 - </w:t>
      </w:r>
      <w:r>
        <w:rPr>
          <w:rFonts w:ascii="Times New Roman" w:cs="Times New Roman" w:eastAsia="Times New Roman" w:hAnsi="Times New Roman"/>
          <w:sz w:val="18"/>
          <w:szCs w:val="18"/>
          <w:i w:val="1"/>
          <w:iCs w:val="1"/>
          <w:color w:val="auto"/>
        </w:rPr>
        <w:t xml:space="preserve">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business and industry which are 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4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Q4 2023</w:t>
            </w:r>
          </w:p>
        </w:tc>
        <w:tc>
          <w:tcPr>
            <w:tcW w:w="9040" w:type="dxa"/>
            <w:vAlign w:val="bottom"/>
          </w:tcPr>
          <w:p>
            <w:pPr>
              <w:ind w:left="1560"/>
              <w:spacing w:after="0" w:line="198" w:lineRule="exact"/>
              <w:rPr>
                <w:sz w:val="20"/>
                <w:szCs w:val="20"/>
                <w:color w:val="auto"/>
              </w:rPr>
            </w:pPr>
            <w:r>
              <w:rPr>
                <w:rFonts w:ascii="Times New Roman" w:cs="Times New Roman" w:eastAsia="Times New Roman" w:hAnsi="Times New Roman"/>
                <w:sz w:val="18"/>
                <w:szCs w:val="18"/>
                <w:color w:val="auto"/>
              </w:rPr>
              <w:t>Three months ended December 31, 2023</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Q4 2022</w:t>
            </w:r>
          </w:p>
        </w:tc>
        <w:tc>
          <w:tcPr>
            <w:tcW w:w="9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Three months ended December 31, 2022</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FY 2023</w:t>
            </w:r>
          </w:p>
        </w:tc>
        <w:tc>
          <w:tcPr>
            <w:tcW w:w="9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Twelve months ended December 31, 2023</w:t>
            </w:r>
          </w:p>
        </w:tc>
      </w:tr>
      <w:tr>
        <w:trPr>
          <w:trHeight w:val="241"/>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FY 2022</w:t>
            </w:r>
          </w:p>
        </w:tc>
        <w:tc>
          <w:tcPr>
            <w:tcW w:w="90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Twelve months ended December 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Bitcoin mining company. Bitfarms runs vertically integrated mining operations with an in-house management system and company-owned electrical engineering, installation service, and onsite technical repair.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owns and operates server farms comprised of computers (referred to as “Miners”) designed for the purpose of validating transactions on the Bitcoin Blockchain (referred to as “Mining”). Bitfarms generally operates its Miners 24 hours a day, which produce computational power used for hashing calculations (measured by hashrate) that Bitfarms sells to a Mining Pool under a formula-driven rate commonly known in the industry as Full Pay Per Share (“FPPS”). Under FPPS, Mining Pools compensate Mining companies for their computational power used for hashing calculations, measured through hashrate, based on what the Mining Pool would expect to generate in revenue for a given time period if there was no randomness involved. The fee paid by a Mining Pool to Bitfarms for its computational power used for hashing calculations may be in cryptocurrency, U.S. dollars, or another currency. However, the fees are generally paid to the Company in bitcoin (“BTC”) on a daily basis.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which are situated in four countries: Canada, the United States, Paraguay and Argentina. Powered predominately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94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Operating power as of</w:t>
            </w:r>
          </w:p>
        </w:tc>
        <w:tc>
          <w:tcPr>
            <w:tcW w:w="2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Contracted power as of</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auto"/>
            </w:tcBorders>
            <w:vMerge w:val="continue"/>
          </w:tcPr>
          <w:p>
            <w:pPr>
              <w:spacing w:after="0"/>
              <w:rPr>
                <w:sz w:val="21"/>
                <w:szCs w:val="21"/>
                <w:color w:val="auto"/>
              </w:rPr>
            </w:pPr>
          </w:p>
        </w:tc>
        <w:tc>
          <w:tcPr>
            <w:tcW w:w="49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March 6, 2024</w:t>
            </w:r>
          </w:p>
        </w:tc>
        <w:tc>
          <w:tcPr>
            <w:tcW w:w="2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March 6, 2024</w:t>
            </w:r>
          </w:p>
        </w:tc>
        <w:tc>
          <w:tcPr>
            <w:tcW w:w="0" w:type="dxa"/>
            <w:vAlign w:val="bottom"/>
          </w:tcPr>
          <w:p>
            <w:pPr>
              <w:spacing w:after="0"/>
              <w:rPr>
                <w:sz w:val="1"/>
                <w:szCs w:val="1"/>
                <w:color w:val="auto"/>
              </w:rPr>
            </w:pPr>
          </w:p>
        </w:tc>
      </w:tr>
      <w:tr>
        <w:trPr>
          <w:trHeight w:val="1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
                <w:szCs w:val="1"/>
                <w:color w:val="auto"/>
              </w:rPr>
              <w:t>Canada</w:t>
            </w:r>
          </w:p>
        </w:tc>
        <w:tc>
          <w:tcPr>
            <w:tcW w:w="49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
                <w:szCs w:val="1"/>
                <w:color w:val="auto"/>
              </w:rPr>
              <w:t>158 MW</w:t>
            </w:r>
          </w:p>
        </w:tc>
        <w:tc>
          <w:tcPr>
            <w:tcW w:w="22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
                <w:szCs w:val="1"/>
                <w:color w:val="auto"/>
              </w:rPr>
              <w:t>179 MW</w:t>
            </w:r>
          </w:p>
        </w:tc>
        <w:tc>
          <w:tcPr>
            <w:tcW w:w="0" w:type="dxa"/>
            <w:vAlign w:val="bottom"/>
          </w:tcPr>
          <w:p>
            <w:pPr>
              <w:spacing w:after="0" w:line="20" w:lineRule="exact"/>
              <w:rPr>
                <w:sz w:val="1"/>
                <w:szCs w:val="1"/>
                <w:color w:val="auto"/>
              </w:rPr>
            </w:pPr>
          </w:p>
        </w:tc>
      </w:tr>
      <w:tr>
        <w:trPr>
          <w:trHeight w:val="197"/>
        </w:trPr>
        <w:tc>
          <w:tcPr>
            <w:tcW w:w="404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2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5"/>
                <w:szCs w:val="15"/>
                <w:color w:val="auto"/>
              </w:rPr>
              <w:t>1, 2</w:t>
            </w:r>
          </w:p>
        </w:tc>
        <w:tc>
          <w:tcPr>
            <w:tcW w:w="0" w:type="dxa"/>
            <w:vAlign w:val="bottom"/>
          </w:tcPr>
          <w:p>
            <w:pPr>
              <w:spacing w:after="0"/>
              <w:rPr>
                <w:sz w:val="1"/>
                <w:szCs w:val="1"/>
                <w:color w:val="auto"/>
              </w:rPr>
            </w:pPr>
          </w:p>
        </w:tc>
      </w:tr>
      <w:tr>
        <w:trPr>
          <w:trHeight w:val="19"/>
        </w:trPr>
        <w:tc>
          <w:tcPr>
            <w:tcW w:w="404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United States</w:t>
            </w:r>
          </w:p>
        </w:tc>
        <w:tc>
          <w:tcPr>
            <w:tcW w:w="4940" w:type="dxa"/>
            <w:vAlign w:val="bottom"/>
          </w:tcPr>
          <w:p>
            <w:pPr>
              <w:jc w:val="right"/>
              <w:ind w:right="105"/>
              <w:spacing w:after="0" w:line="19" w:lineRule="exact"/>
              <w:rPr>
                <w:sz w:val="20"/>
                <w:szCs w:val="20"/>
                <w:color w:val="auto"/>
              </w:rPr>
            </w:pPr>
            <w:r>
              <w:rPr>
                <w:rFonts w:ascii="Times New Roman" w:cs="Times New Roman" w:eastAsia="Times New Roman" w:hAnsi="Times New Roman"/>
                <w:sz w:val="2"/>
                <w:szCs w:val="2"/>
                <w:color w:val="auto"/>
              </w:rPr>
              <w:t>18 MW</w:t>
            </w:r>
          </w:p>
        </w:tc>
        <w:tc>
          <w:tcPr>
            <w:tcW w:w="2260" w:type="dxa"/>
            <w:vAlign w:val="bottom"/>
          </w:tcPr>
          <w:p>
            <w:pPr>
              <w:jc w:val="right"/>
              <w:ind w:right="259"/>
              <w:spacing w:after="0" w:line="19" w:lineRule="exact"/>
              <w:rPr>
                <w:sz w:val="20"/>
                <w:szCs w:val="20"/>
                <w:color w:val="auto"/>
              </w:rPr>
            </w:pPr>
            <w:r>
              <w:rPr>
                <w:rFonts w:ascii="Times New Roman" w:cs="Times New Roman" w:eastAsia="Times New Roman" w:hAnsi="Times New Roman"/>
                <w:sz w:val="2"/>
                <w:szCs w:val="2"/>
                <w:color w:val="auto"/>
              </w:rPr>
              <w:t>21 MW</w:t>
            </w: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6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
        </w:trPr>
        <w:tc>
          <w:tcPr>
            <w:tcW w:w="404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Paraguay</w:t>
            </w:r>
          </w:p>
        </w:tc>
        <w:tc>
          <w:tcPr>
            <w:tcW w:w="4940" w:type="dxa"/>
            <w:vAlign w:val="bottom"/>
            <w:shd w:val="clear" w:color="auto" w:fill="CCEEFF"/>
          </w:tcPr>
          <w:p>
            <w:pPr>
              <w:jc w:val="right"/>
              <w:ind w:right="105"/>
              <w:spacing w:after="0" w:line="19" w:lineRule="exact"/>
              <w:rPr>
                <w:sz w:val="20"/>
                <w:szCs w:val="20"/>
                <w:color w:val="auto"/>
              </w:rPr>
            </w:pPr>
            <w:r>
              <w:rPr>
                <w:rFonts w:ascii="Times New Roman" w:cs="Times New Roman" w:eastAsia="Times New Roman" w:hAnsi="Times New Roman"/>
                <w:sz w:val="2"/>
                <w:szCs w:val="2"/>
                <w:color w:val="auto"/>
              </w:rPr>
              <w:t>10 MW</w:t>
            </w:r>
          </w:p>
        </w:tc>
        <w:tc>
          <w:tcPr>
            <w:tcW w:w="2260" w:type="dxa"/>
            <w:vAlign w:val="bottom"/>
            <w:shd w:val="clear" w:color="auto" w:fill="CCEEFF"/>
          </w:tcPr>
          <w:p>
            <w:pPr>
              <w:jc w:val="right"/>
              <w:ind w:right="259"/>
              <w:spacing w:after="0" w:line="19" w:lineRule="exact"/>
              <w:rPr>
                <w:sz w:val="20"/>
                <w:szCs w:val="20"/>
                <w:color w:val="auto"/>
              </w:rPr>
            </w:pPr>
            <w:r>
              <w:rPr>
                <w:rFonts w:ascii="Times New Roman" w:cs="Times New Roman" w:eastAsia="Times New Roman" w:hAnsi="Times New Roman"/>
                <w:sz w:val="2"/>
                <w:szCs w:val="2"/>
                <w:color w:val="auto"/>
              </w:rPr>
              <w:t>180 MW</w:t>
            </w:r>
          </w:p>
        </w:tc>
        <w:tc>
          <w:tcPr>
            <w:tcW w:w="0" w:type="dxa"/>
            <w:vAlign w:val="bottom"/>
          </w:tcPr>
          <w:p>
            <w:pPr>
              <w:spacing w:after="0" w:line="20" w:lineRule="exact"/>
              <w:rPr>
                <w:sz w:val="1"/>
                <w:szCs w:val="1"/>
                <w:color w:val="auto"/>
              </w:rPr>
            </w:pPr>
          </w:p>
        </w:tc>
      </w:tr>
      <w:tr>
        <w:trPr>
          <w:trHeight w:val="201"/>
        </w:trPr>
        <w:tc>
          <w:tcPr>
            <w:tcW w:w="4040" w:type="dxa"/>
            <w:vAlign w:val="bottom"/>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26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Argentina</w:t>
            </w:r>
          </w:p>
        </w:tc>
        <w:tc>
          <w:tcPr>
            <w:tcW w:w="49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8"/>
                <w:szCs w:val="18"/>
                <w:color w:val="auto"/>
              </w:rPr>
              <w:t>54 MW</w:t>
            </w:r>
          </w:p>
        </w:tc>
        <w:tc>
          <w:tcPr>
            <w:tcW w:w="2260" w:type="dxa"/>
            <w:vAlign w:val="bottom"/>
            <w:tcBorders>
              <w:bottom w:val="single" w:sz="8" w:color="auto"/>
            </w:tcBorders>
          </w:tcPr>
          <w:p>
            <w:pPr>
              <w:jc w:val="right"/>
              <w:ind w:right="179"/>
              <w:spacing w:after="0" w:line="243" w:lineRule="exact"/>
              <w:rPr>
                <w:sz w:val="20"/>
                <w:szCs w:val="20"/>
                <w:color w:val="auto"/>
              </w:rPr>
            </w:pPr>
            <w:r>
              <w:rPr>
                <w:rFonts w:ascii="Times New Roman" w:cs="Times New Roman" w:eastAsia="Times New Roman" w:hAnsi="Times New Roman"/>
                <w:sz w:val="17"/>
                <w:szCs w:val="17"/>
                <w:color w:val="auto"/>
              </w:rPr>
              <w:t>210 MW</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auto"/>
            </w:tcBorders>
            <w:shd w:val="clear" w:color="auto" w:fill="CCEEFF"/>
          </w:tcPr>
          <w:p>
            <w:pPr>
              <w:spacing w:after="0"/>
              <w:rPr>
                <w:sz w:val="21"/>
                <w:szCs w:val="21"/>
                <w:color w:val="auto"/>
              </w:rPr>
            </w:pPr>
          </w:p>
        </w:tc>
        <w:tc>
          <w:tcPr>
            <w:tcW w:w="494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240 MW</w:t>
            </w:r>
          </w:p>
        </w:tc>
        <w:tc>
          <w:tcPr>
            <w:tcW w:w="22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590 MW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line="195" w:lineRule="auto"/>
        <w:tabs>
          <w:tab w:leader="none" w:pos="34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but does not currently have an expansion plan for those 10 MW of power. Bitfarms is continuing its efforts to search for economically viable properties for the available 10 MW of hydro-electricity.</w:t>
      </w:r>
    </w:p>
    <w:p>
      <w:pPr>
        <w:spacing w:after="0" w:line="89" w:lineRule="exact"/>
        <w:rPr>
          <w:sz w:val="20"/>
          <w:szCs w:val="20"/>
          <w:color w:val="auto"/>
        </w:rPr>
      </w:pPr>
    </w:p>
    <w:p>
      <w:pPr>
        <w:ind w:left="340" w:hanging="332"/>
        <w:spacing w:after="0"/>
        <w:tabs>
          <w:tab w:leader="none" w:pos="340" w:val="left"/>
        </w:tabs>
        <w:numPr>
          <w:ilvl w:val="0"/>
          <w:numId w:val="1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1"/>
                <w:szCs w:val="21"/>
                <w:color w:val="auto"/>
              </w:rPr>
            </w:pPr>
          </w:p>
        </w:tc>
      </w:tr>
      <w:tr>
        <w:trPr>
          <w:trHeight w:val="237"/>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3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60" w:type="dxa"/>
            <w:vAlign w:val="bottom"/>
            <w:tcBorders>
              <w:bottom w:val="single" w:sz="8" w:color="auto"/>
            </w:tcBorders>
          </w:tcPr>
          <w:p>
            <w:pPr>
              <w:jc w:val="right"/>
              <w:ind w:right="370"/>
              <w:spacing w:after="0" w:line="230" w:lineRule="exact"/>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26"/>
                <w:szCs w:val="26"/>
                <w:color w:val="auto"/>
                <w:vertAlign w:val="superscript"/>
              </w:rPr>
              <w:t>(3)</w:t>
            </w:r>
          </w:p>
        </w:tc>
        <w:tc>
          <w:tcPr>
            <w:tcW w:w="980" w:type="dxa"/>
            <w:vAlign w:val="bottom"/>
            <w:tcBorders>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16"/>
                <w:szCs w:val="16"/>
                <w:color w:val="auto"/>
              </w:rPr>
              <w:t>2021</w:t>
            </w:r>
            <w:r>
              <w:rPr>
                <w:rFonts w:ascii="Times New Roman" w:cs="Times New Roman" w:eastAsia="Times New Roman" w:hAnsi="Times New Roman"/>
                <w:sz w:val="26"/>
                <w:szCs w:val="26"/>
                <w:color w:val="auto"/>
                <w:vertAlign w:val="superscript"/>
              </w:rPr>
              <w:t>(3)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142,428</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169,491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3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10,518</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111,120</w:t>
            </w:r>
          </w:p>
        </w:tc>
      </w:tr>
      <w:tr>
        <w:trPr>
          <w:trHeight w:val="256"/>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3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gain</w:t>
            </w:r>
          </w:p>
        </w:tc>
        <w:tc>
          <w:tcPr>
            <w:tcW w:w="3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(284,022)</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63,640</w:t>
            </w:r>
          </w:p>
        </w:tc>
      </w:tr>
      <w:tr>
        <w:trPr>
          <w:trHeight w:val="277"/>
        </w:trPr>
        <w:tc>
          <w:tcPr>
            <w:tcW w:w="546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3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w:t>
            </w:r>
          </w:p>
        </w:tc>
        <w:tc>
          <w:tcPr>
            <w:tcW w:w="15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(199)%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1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(175,644)</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(0.40)</w:t>
            </w:r>
          </w:p>
        </w:tc>
        <w:tc>
          <w:tcPr>
            <w:tcW w:w="1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(0.85)</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(0.40)</w:t>
            </w:r>
          </w:p>
        </w:tc>
        <w:tc>
          <w:tcPr>
            <w:tcW w:w="15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(0.85)</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3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82,584</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134,884</w:t>
            </w:r>
          </w:p>
        </w:tc>
      </w:tr>
      <w:tr>
        <w:trPr>
          <w:trHeight w:val="257"/>
        </w:trPr>
        <w:tc>
          <w:tcPr>
            <w:tcW w:w="5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3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6"/>
        </w:trPr>
        <w:tc>
          <w:tcPr>
            <w:tcW w:w="5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3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54,686</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113,540</w:t>
            </w:r>
          </w:p>
        </w:tc>
      </w:tr>
      <w:tr>
        <w:trPr>
          <w:trHeight w:val="277"/>
        </w:trPr>
        <w:tc>
          <w:tcPr>
            <w:tcW w:w="546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3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w:t>
            </w: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378,725</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343,098</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542,587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3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53,525</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56,120</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143,707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3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4,093</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910</w:t>
            </w:r>
          </w:p>
        </w:tc>
      </w:tr>
      <w:tr>
        <w:trPr>
          <w:trHeight w:val="237"/>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3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47,147</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right="20" w:hanging="332"/>
        <w:spacing w:after="0" w:line="195" w:lineRule="auto"/>
        <w:tabs>
          <w:tab w:leader="none" w:pos="340" w:val="left"/>
        </w:tabs>
        <w:numPr>
          <w:ilvl w:val="0"/>
          <w:numId w:val="1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340" w:hanging="332"/>
        <w:spacing w:after="0"/>
        <w:tabs>
          <w:tab w:leader="none" w:pos="340" w:val="left"/>
        </w:tabs>
        <w:numPr>
          <w:ilvl w:val="0"/>
          <w:numId w:val="1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FOURTH QUARTER 2023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line="183" w:lineRule="auto"/>
        <w:tabs>
          <w:tab w:leader="none" w:pos="340" w:val="left"/>
        </w:tabs>
        <w:numPr>
          <w:ilvl w:val="0"/>
          <w:numId w:val="144"/>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Revenues of $46.2 million, gross profit of $1.8 million (gross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4%) including non-cash depreciation and amortization expense of $21.8 million, operating loss of $12.7 million (operating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8"/>
          <w:szCs w:val="18"/>
          <w:color w:val="auto"/>
        </w:rPr>
        <w:t xml:space="preserve"> of negative 28%) and net loss of $57.2 million;</w:t>
      </w:r>
    </w:p>
    <w:p>
      <w:pPr>
        <w:spacing w:after="0" w:line="2" w:lineRule="exact"/>
        <w:rPr>
          <w:rFonts w:ascii="Times New Roman" w:cs="Times New Roman" w:eastAsia="Times New Roman" w:hAnsi="Times New Roman"/>
          <w:sz w:val="35"/>
          <w:szCs w:val="35"/>
          <w:color w:val="auto"/>
          <w:vertAlign w:val="superscript"/>
        </w:rPr>
      </w:pPr>
    </w:p>
    <w:p>
      <w:pPr>
        <w:ind w:left="340" w:hanging="332"/>
        <w:spacing w:after="0" w:line="191" w:lineRule="auto"/>
        <w:tabs>
          <w:tab w:leader="none" w:pos="340" w:val="left"/>
        </w:tabs>
        <w:numPr>
          <w:ilvl w:val="0"/>
          <w:numId w:val="1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Gross Mining profit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$23.4 million (52% Gross Mining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and</w:t>
      </w:r>
    </w:p>
    <w:p>
      <w:pPr>
        <w:ind w:left="340" w:hanging="332"/>
        <w:spacing w:after="0" w:line="195" w:lineRule="auto"/>
        <w:tabs>
          <w:tab w:leader="none" w:pos="340" w:val="left"/>
        </w:tabs>
        <w:numPr>
          <w:ilvl w:val="0"/>
          <w:numId w:val="14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$14.0 million (30%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hashrate from 6.1 EH/s to 6.5 EH/s, an increase of 7%, through the installation of approximately 2,300 Miners;</w:t>
      </w:r>
    </w:p>
    <w:p>
      <w:pPr>
        <w:spacing w:after="0" w:line="9" w:lineRule="exact"/>
        <w:rPr>
          <w:rFonts w:ascii="Times New Roman" w:cs="Times New Roman" w:eastAsia="Times New Roman" w:hAnsi="Times New Roman"/>
          <w:sz w:val="18"/>
          <w:szCs w:val="18"/>
          <w:i w:val="1"/>
          <w:iCs w:val="1"/>
          <w:color w:val="auto"/>
        </w:rPr>
      </w:pPr>
    </w:p>
    <w:p>
      <w:pPr>
        <w:ind w:left="340" w:hanging="332"/>
        <w:spacing w:after="0" w:line="182" w:lineRule="auto"/>
        <w:tabs>
          <w:tab w:leader="none" w:pos="340" w:val="left"/>
        </w:tabs>
        <w:numPr>
          <w:ilvl w:val="0"/>
          <w:numId w:val="1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1,236 BTC at an average direct cost of $16,200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$25,200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804 BTC valued at approximately $34.0 million as of December 31, 2023;</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250" w:lineRule="auto"/>
        <w:tabs>
          <w:tab w:leader="none" w:pos="34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Sold 1,135 BTC at an average price of $36,600 per BTC for total proceeds of $41.6 million, a portion of which was used to repay equipment-related indebtedness and pay capital expenditures; and</w:t>
      </w:r>
    </w:p>
    <w:p>
      <w:pPr>
        <w:ind w:left="340" w:hanging="332"/>
        <w:spacing w:after="0" w:line="260"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prepaid contract for the months of November 2023 through April 2024 with the Company’s Argentinian private power producer to receive power at the Rio Cuarto facility at the rate of 2.1 cents per kWh plus value added tax.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60"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transformative fleet upgrade with the placement of a firm purchase order for 35,888 Bitmain T21 Miners and secured an option to purchase 28,000 additional T21 Miners with expected deliveries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ind w:left="340" w:right="20" w:hanging="332"/>
        <w:spacing w:after="0" w:line="260"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600 new MicroBT M50 WhatsMiner Miners and 200 new Bitmain S19j Pro+ Antminer Miners, which increased capacity to 54 MW and added approximately 0.1 EH/s to the Rio Cuarto facility, bringing its total hashrate to approximately 1.6 EH/s.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9" w:lineRule="exact"/>
        <w:rPr>
          <w:sz w:val="20"/>
          <w:szCs w:val="20"/>
          <w:color w:val="auto"/>
        </w:rPr>
      </w:pPr>
    </w:p>
    <w:p>
      <w:pPr>
        <w:ind w:left="340" w:right="20" w:hanging="332"/>
        <w:spacing w:after="0" w:line="250" w:lineRule="auto"/>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an additional 6 MW in Baie-Comeau, Quebec, completing the first phase of the facility and increasing the total operating capacity to 11 MW; and</w:t>
      </w:r>
    </w:p>
    <w:p>
      <w:pPr>
        <w:ind w:left="340" w:hanging="332"/>
        <w:spacing w:after="0"/>
        <w:tabs>
          <w:tab w:leader="none" w:pos="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the construction of the second 11 MW phase of the Baie-Comeau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line="260" w:lineRule="auto"/>
        <w:tabs>
          <w:tab w:leader="none" w:pos="3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an amendment to the existing contract for an additional 20 MW of hydro power capacity to support the expansion at the Paso Pe facility, bringing the facility’s total hydro power capacity to 70 MW.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$5.9 million in equipment-related indebtedness, reducing the total outstanding balance to $4.0 million as of December 31,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$40.6 million in net proceeds through the closing of a private placement;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Synthetic HODL™ strategy with the purchase of 135 long-dated BTC call options held by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FULL YEAR 2023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jc w:val="both"/>
        <w:ind w:left="340" w:hanging="332"/>
        <w:spacing w:after="0" w:line="183" w:lineRule="auto"/>
        <w:tabs>
          <w:tab w:leader="none" w:pos="340" w:val="left"/>
        </w:tabs>
        <w:numPr>
          <w:ilvl w:val="0"/>
          <w:numId w:val="1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Revenues of $146.4 million, gross loss of $21.5 million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15%) including non-cash depreciation and amortization expense of $84.8 million, operating loss of $72.1 million (operating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negative 49%) including impairment loss of $12.3 million, and net loss of $104.0 million;</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183" w:lineRule="auto"/>
        <w:tabs>
          <w:tab w:leader="none" w:pos="340" w:val="left"/>
        </w:tabs>
        <w:numPr>
          <w:ilvl w:val="0"/>
          <w:numId w:val="15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$62.4 million (44%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and</w:t>
      </w:r>
    </w:p>
    <w:p>
      <w:pPr>
        <w:ind w:left="340" w:hanging="332"/>
        <w:spacing w:after="0" w:line="195" w:lineRule="auto"/>
        <w:tabs>
          <w:tab w:leader="none" w:pos="340" w:val="left"/>
        </w:tabs>
        <w:numPr>
          <w:ilvl w:val="0"/>
          <w:numId w:val="15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$35.1 million (24% Adjusted EBITDA margin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4.5 EH/s to 6.5 EH/s, an increase of 44%, through the acquisition and installation of approximately 22,100 Miners;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the average watts/average TH efficiency from 39 watts/TH to 36 watts/TH, a change of 8%, through the acquisition and installation of more efficient Miners;</w:t>
      </w:r>
    </w:p>
    <w:p>
      <w:pPr>
        <w:ind w:left="340" w:hanging="332"/>
        <w:spacing w:after="0" w:line="192" w:lineRule="auto"/>
        <w:tabs>
          <w:tab w:leader="none" w:pos="340" w:val="left"/>
        </w:tabs>
        <w:numPr>
          <w:ilvl w:val="0"/>
          <w:numId w:val="1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Earned 4,928 BTC at an average direct cost of $15,200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or an average total cash cost of $21,800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hanging="332"/>
        <w:spacing w:after="0" w:line="249"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804 BTC valued at approximately $34.0 million as of December 31, 2023, compared to 405 BTC as of December 31, 2022, representing an increase in the quantity of BTC of 99%;</w:t>
      </w:r>
    </w:p>
    <w:p>
      <w:pPr>
        <w:ind w:left="340" w:hanging="332"/>
        <w:spacing w:after="0" w:line="25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4,529 BTC at an average price of $28,600 per BTC for total proceeds of $129.3 million, a portion of which was used to repay equipment-related indebtedness and pay capital expenditures;</w:t>
      </w:r>
    </w:p>
    <w:p>
      <w:pPr>
        <w:ind w:left="340" w:hanging="332"/>
        <w:spacing w:after="0" w:line="25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a self-importer in Argentina, reducing the expense and facilitating the importation of Miners, and terminated existing contracts with importation brokers, resulting in an impairment loss of $7.0 million on short-term prepaid deposits; and</w:t>
      </w:r>
    </w:p>
    <w:p>
      <w:pPr>
        <w:ind w:left="340" w:hanging="332"/>
        <w:spacing w:after="0" w:line="260" w:lineRule="auto"/>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prepaid contract for the months of November 2023 through April 2024 with the Company’s Argentinian private power producer to receive power at the Rio Cuarto facility at the rate of 2.1 cents per kWh plus value added tax.</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right="20" w:hanging="332"/>
        <w:spacing w:after="0" w:line="260" w:lineRule="auto"/>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transformative fleet upgrade with the placement of a firm purchase order for 35,888 Bitmain T21 Miners and secured an option to purchase 28,000 additional T21 Miners with expected deliveries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ind w:left="340" w:hanging="332"/>
        <w:spacing w:after="0" w:line="255" w:lineRule="auto"/>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5,100 new MicroBT M30S WhatsMiner Miners, 1,900 new MicroBT M50 WhatsMiner Miners, 700 new Bitmain S19j Pro Antminer Miners and 5,700 new Bitmain S19j Pro+ Antminer Miners, which increased capacity to 54 MW and added approximately 1.4 EH/s to the Rio Cuarto facility, bringing its current hashrate to approximately 1.6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40" w:hanging="332"/>
        <w:spacing w:after="0"/>
        <w:tabs>
          <w:tab w:leader="none" w:pos="340" w:val="left"/>
        </w:tabs>
        <w:numPr>
          <w:ilvl w:val="0"/>
          <w:numId w:val="1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FULL YEAR 2023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Expansions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9" w:lineRule="exact"/>
        <w:rPr>
          <w:sz w:val="20"/>
          <w:szCs w:val="20"/>
          <w:color w:val="auto"/>
        </w:rPr>
      </w:pP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22 MW of hydro power capacity and leased a site in Baie-Comeau, Quebec;</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2,500 Miners in Baie-Comeau, Quebec that were redeployed from Magog, Quebec, completing the first phase of the facility with 11 MW of total operating capacity; and</w:t>
      </w:r>
    </w:p>
    <w:p>
      <w:pPr>
        <w:ind w:left="340" w:hanging="332"/>
        <w:spacing w:after="0"/>
        <w:tabs>
          <w:tab w:leader="none" w:pos="3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2,900 new Antminer S19j Pro+ Miners in Magog, Quebec, bringing its total hashrate to approximately 0.3 EH/s.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ind w:left="340" w:hanging="332"/>
        <w:spacing w:after="0" w:line="250"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Imported and installed approximately 2,900 new M30s WhatsMiner Miners into Paraguay, which added a net 165 PH/s to the Villarrica facility after replacing the older generation Miners, and bringing its total hashrate to approximately 0.3 EH/s. The Company sold the older generation Miners to a third party for approximately $0.2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two power purchase agreements for up to 50 MW and 100 MW of hydro power capacity in Paso Pe and Yguazu, respectively, and started construction at the Paso Pe facility. Subsequently, the power capacity at Paso Pe was increased by 20 MW, bringing the total hydro power capacity to 70 MW for the facility;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utilized remaining Miner manufacturer credits of $19.1 million for the purchase of nine MicroBT hydro containers, with a total capacity of 20 MW, and approximately 2,000 MicroBT M53S hydro Miners to be deployed mainly in Paraguay.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line="250"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a discounted prepayment of the equipment financing with BlockFi Lending LLC (“BlockFi”), which had an outstanding balance of $20.3 million as at February 8, 2023, for $7.8 million, resulting in a gain on extinguishment of long-term debt of $12.6 million;</w:t>
      </w:r>
    </w:p>
    <w:p>
      <w:pPr>
        <w:ind w:left="340" w:hanging="332"/>
        <w:spacing w:after="0" w:line="250"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$30.5 million in equipment-related indebtedness, including the negotiated $7.8 million BlockFi loan settlement payment described above, reducing the total outstanding balance to $4.0 million as of December 31, 2023;</w:t>
      </w: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$40.6 million in net proceeds through the closing of a private placement;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$68.5 million in net proceeds through the Company’s at-the-market equity offering program;</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hedging activities including entering into BTC option contracts with the objective of reducing the variability of future cash flows from sales of digital assets; and</w:t>
      </w:r>
    </w:p>
    <w:p>
      <w:pPr>
        <w:ind w:left="340" w:hanging="332"/>
        <w:spacing w:after="0"/>
        <w:tabs>
          <w:tab w:leader="none" w:pos="3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Synthetic HODL™ strategy with the purchase of 135 long-dated BTC call options held by the Company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420" w:firstLine="8"/>
        <w:spacing w:after="0" w:line="388" w:lineRule="auto"/>
        <w:tabs>
          <w:tab w:leader="none" w:pos="18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r>
      <w:tr>
        <w:trPr>
          <w:trHeight w:val="236"/>
        </w:trPr>
        <w:tc>
          <w:tcPr>
            <w:tcW w:w="3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4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1,236</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1,434</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5,167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35</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36</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4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3,093</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4,529</w:t>
            </w:r>
          </w:p>
        </w:tc>
        <w:tc>
          <w:tcPr>
            <w:tcW w:w="13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9,063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8"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2023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Q4 2022</w:t>
      </w:r>
    </w:p>
    <w:p>
      <w:pPr>
        <w:spacing w:after="0" w:line="31" w:lineRule="exact"/>
        <w:rPr>
          <w:sz w:val="20"/>
          <w:szCs w:val="20"/>
          <w:color w:val="auto"/>
        </w:rPr>
      </w:pPr>
    </w:p>
    <w:p>
      <w:pPr>
        <w:ind w:left="660" w:hanging="328"/>
        <w:spacing w:after="0" w:line="250"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1,236 BTC earned in Q4 2023, compared to 1,434 BTC earned in Q4 2022, representing a decrease of 14% as a result of an 80% increase in average network difficulty, partially offset by an increase in hashrate from the Company’s expansions and certain upgrades to its Miner fleet;</w:t>
      </w:r>
    </w:p>
    <w:p>
      <w:pPr>
        <w:ind w:left="660" w:hanging="328"/>
        <w:spacing w:after="0" w:line="250"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average Watts/average TH efficiency in Q4 2023, compared to 38 average Watts/average TH efficiency in Q4 2022, representing an improvement of 8% due to the Company upgrading its fleet with more efficient Miners; and</w:t>
      </w:r>
    </w:p>
    <w:p>
      <w:pPr>
        <w:jc w:val="both"/>
        <w:ind w:left="660" w:hanging="328"/>
        <w:spacing w:after="0" w:line="255" w:lineRule="auto"/>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 BTC sold in Q4 2023, compared to 3,093 BTC in Q4 2022. In Q4 2023, the proceeds were used in part to fund operations and repay equipment financing indebtedness, whereas in Q4 2022, the proceeds were mainly used to repay part of the BTC backed credit facility for $23.1 million, fund operations and to manage liquidity.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4,928 BTC earned during FY 2023, compared to 5,167 BTC earned during FY 2022, representing a decrease of 5% from the previous year;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average Watts/average TH efficiency during FY 2023, compared to 39 average Watts/average TH efficiency during FY 2022, an improvement of 8% due to the Company upgrading its fleet with more efficient Miners; and</w:t>
      </w:r>
    </w:p>
    <w:p>
      <w:pPr>
        <w:ind w:left="660" w:hanging="328"/>
        <w:spacing w:after="0" w:line="260" w:lineRule="auto"/>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4,529 BTC sold in FY 2023, compared to 9,063 BTC in FY 2022. The proceeds were used for the same purposes as those explained in the Q4 2023 v. Q4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PRODUCTION AND MINING OPERATIONS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Key Performance Indicators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2023 v. FY 2022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0"/>
                <w:szCs w:val="20"/>
                <w:color w:val="auto"/>
              </w:rPr>
            </w:pPr>
          </w:p>
        </w:tc>
      </w:tr>
      <w:tr>
        <w:trPr>
          <w:trHeight w:val="237"/>
        </w:trPr>
        <w:tc>
          <w:tcPr>
            <w:tcW w:w="60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6.5</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Period-end operating capacity (MW)</w:t>
            </w:r>
          </w:p>
        </w:tc>
        <w:tc>
          <w:tcPr>
            <w:tcW w:w="2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240</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 power (MW)</w:t>
            </w:r>
          </w:p>
        </w:tc>
        <w:tc>
          <w:tcPr>
            <w:tcW w:w="2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178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 power proportion of period-end operating capacity</w:t>
            </w:r>
          </w:p>
        </w:tc>
        <w:tc>
          <w:tcPr>
            <w:tcW w:w="2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78%</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2023 v. as of December 31, 2022</w:t>
      </w:r>
    </w:p>
    <w:p>
      <w:pPr>
        <w:spacing w:after="0" w:line="31" w:lineRule="exact"/>
        <w:rPr>
          <w:sz w:val="20"/>
          <w:szCs w:val="20"/>
          <w:color w:val="auto"/>
        </w:rPr>
      </w:pPr>
    </w:p>
    <w:p>
      <w:pPr>
        <w:ind w:left="660" w:right="20" w:hanging="328"/>
        <w:spacing w:after="0" w:line="250" w:lineRule="auto"/>
        <w:tabs>
          <w:tab w:leader="none" w:pos="66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6.5 EH/s online as of December 31, 2023, compared to 4.5 EH/s online as of December 31, 2022, an increase of 44%, as a result of the Company’s expansions in Sherbrooke (Quebec), Baie-Comeau (Quebec) and Rio Cuarto (Argentina) as well as the upgrade of its Miner fleet;</w:t>
      </w:r>
    </w:p>
    <w:p>
      <w:pPr>
        <w:jc w:val="both"/>
        <w:ind w:left="660" w:hanging="328"/>
        <w:spacing w:after="0" w:line="250"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MW operating capacity as of December 31, 2023, compared to 188 MW operating capacity as of December 31, 2022, an increase of 28%, as a result of the installation of approximately 13,400 Miners in Rio Cuarto, Argentina from Q2 to Q4 2023 (resulting in an additional 44 MW) and the expansion in Baie-Comeau (resulting in an additional 11 MW);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MW hydro power as of December 31, 2023, compared to 178 MW hydro power as of December 31, 2022, an increase of 4% as a result of the Company’s expansion in Baie-Comeau, and representing 78% of the Company’s total operating energy capacity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EXPANSION PROJECTS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entitled “Argentina Expansion”, “Paraguay Expansion”, “Washington Expansion” and “Canada Expansion”. These expansion projects only include updates for 2023. For background or historical information on these expansions, refer to the Company’s MD&amp;A for the year ended December 31, 2022, dated March 20, 2023.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operated 6.5 EH/s, an increase of 0.4 EH/s and 2.0 EH/s compared to Q3 2023 and Q4 2022, respectively, with the installation of additional Miners in Baie-Comeau, Quebec, and Rio Cuarto, Argentina. On November 27, 2023, the Company placed a firm purchase order for 35,888 Bitmain T21 Miners totaling $95.5 million, or $14/TH, with deliveries scheduled from March 2024 to May 2024. In addition, the Company secured a purchase option for an additional 28,000 Bitmain T21 Miners (the “Purchase Option”) for an aggregate purchase price of $74.5 million, or $14/TH. With the deployment of this transformative fleet upgrade, the Company expects to increase its hashrate and improve its fleet efficiency to 12.0 EH/s and 25 W/TH, respectively, in Q2 2024, and to 17.0 EH/s and 23 W/TH, respectively, by December 31, 2024 if the Company exercises the Purchase Option. Including the redeployment of the current Miners in use, the Company expects to reach 21.0 EH/s before the end of 2024. With the next BTC halving expected to occur in April 2024, the Company continues to prudently explore further opportunities to expand its infrastructure and improve its Mining hardware to increase the Company’s hashrate, provided such opportunities are accretive based on current macro factors and expected specific operating performance. As of March 6, 2024, the Company paid $50.8 million towards the purchase order, paid $7.4 million towards the Purchase Option and has sufficient liquidity to complete the purchase obligations of the 35,888 T21 Miners.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supply and cost of cryptocurrency Mining equipment, the ability to import equipment into countries in a cost-effective manner, the supply of electrical and other supporting infrastructure equipment, the availability of construction materials, currency exchange rates, the impact of geopolitical events or global health related issues such as pandemics on the supply chains described above, and the Company’s ability to fund its initiatives. Adding reliable, environmentally-friendly hydro power is a preferred part of the Company’s strategy to expand cost-effectively its operating footprint. The Company’s expansion plans rely on a consistent supply of electricity at cost-effective rates; refer to Section 18 -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w:t>
      </w:r>
      <w:r>
        <w:rPr>
          <w:rFonts w:ascii="Times New Roman" w:cs="Times New Roman" w:eastAsia="Times New Roman" w:hAnsi="Times New Roman"/>
          <w:sz w:val="18"/>
          <w:szCs w:val="18"/>
          <w:color w:val="auto"/>
        </w:rPr>
        <w:t>of this MD&amp;A for further details, including a description of these and other factors.</w:t>
      </w:r>
    </w:p>
    <w:p>
      <w:pPr>
        <w:spacing w:after="0" w:line="185"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Argentina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Management elected to postpone the development of additional infrastructure in Argentina until (i) the private Argentinian power producer obtains an increased power permit, (ii) certain political and economic uncertainties in Argentina have been resolved or become attenuated and (iii) natural gas prices stabilize at an acceptable level.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in anticipation of the power permit approval, the Company, using credits and cash, purchased over 6,200 new Bitmain and MicroBT Miners to fill out an additional 22 MW in the Argentinian facility. Those new Miners were installed in the third quarter of 2023 and improved the overall W/TH efficiency and increased the hashrate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2023 update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confirmed the receipt of the necessary power permits by the private Argentinian power producer to expand production at its Argentina facility. The current permits in place allow up to 100 MW of power capacity. The Company completed testing of its Rio Cuarto substation and began to draw power from the private power producer. The Company installed 2,100 new Miners that were delivered in March and April 2023. Energizing those miners and ending underclocking of previously installed miners in line with improved economics increased the active capacity to 18 MW and the Company’s operational hashrate to over 5.0 EH/s.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power from the private Argentinian power producer enabled the Company to commence purchasing low-cost power under its purchase agreement at approximately $0.03 per kWh, before VAT, on an annualized basis, or possibly less as the Company reaches full capacity at the facility. The Company’s cost of BTC earned at that farm decreased substantially as it actively scaled up operations at the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1,650 Bitmain S19 Pro Miners were purchased for Argentina at an average direct cost of $12.98/TH, in addition to the 6,200 Miners purchased in April 2023. In addition, 2,900 MicroBT Miners were delivered, installed and energized, contributing an additional 290 PH/s and driving the Company’s operational hashrate to 5.3 EH/s as of June 30,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and September 2023, approximately 1,300 new M50 WhatsMiner miners, 700 new S19j Pro Antminer Miners and 5,500 new S19j Pro+ Antminer Miners were imported and installed, increasing the warehouse’s capacity to 51 MW and operational hashrate to 1.5 EH/s. Approximately 600 additional M50 WhatsMiner miners were installed in October 2023, further increasing the warehouse’s capacity to 54 MW and operational hashrate to 1.6 EH/s.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 prepaid contract with its Argentinian private power producer, to receive power at the Rio Cuarto facility at the rate of 2.1 cents per kWh plus VAT for the months of November 2023 through April 2024. This contract is expected to significantly lower the Company’s blended cost of power to an average of 2.5 cents per kWh plus VAT for the first year of full operations at that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2023, the newly elected President, Javier Milei, took office. Self-described as right-wing libertarian, his agenda includes pro-market policies with an aim to address budget deficits and combat high inflation rates and currency devaluation. Furthermore, the new administration has announced measures to ease import restrictions and provide an incentive to attract foreign direct investments. It is also believed President Milei is receptive to the overall crypto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placed deposits of $4.0 million with suppliers for existing and additional construction work. Overall, in Argentina, the Company has also acquired $63.3 million of property, plant and equipment, incurred $0.3 million of expenditures relating to design and feasibility studies and recorded cumulative gains on the disposition of marketable securities of $70.0 million associated with the mechanism to convert funds into Argentine Pesos for disbursements.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Argentina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expects to upgrade its current fleet of miners in Rio Cuarto during Q4 2024 with new T21 Miners, which is expected to increase the online hashrate from 1.6 EH/s to 2.4 EH/s by December 31, 2024, assuming the Purchase Option is exercised.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the Company is not yet in a position to determine when or if construction of additional infrastructure in Argentina will commence. The Company will monitor general macroeconomic conditions and the evolution of the new administration’s economic program in assessing its expansion plans in the country.</w:t>
      </w:r>
    </w:p>
    <w:p>
      <w:pPr>
        <w:spacing w:after="0" w:line="176"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sold the older generation Miners to a third party for approximately $0.2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Yguazu, a new location close to the Itaipú dam, the third largest hydro-electric dam in the world. The new facility in Villarrica is referred to as the Paso Pe facility. At Yguazu, the Company has the opportunity to develop a new farm with up to 100 MW of Mining capacity at a site that is in close proximity to a newly constructed substation with 1,200 MW of capacity. Hydro power at both locations will be provided at a contracted cost of approximately $0.039 per kWh, before VAT, until December 31, 2027 and is not subject to annual inflationary adjustments.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facility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M53S hydro-cooling Miners capable of producing approximately 675 PH/s once installed.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construction commenced as planned at the Paso Pe facility, beginning with the substation, followed by building-out a Mining facility consisting of 50 MW (originally 30 MW before the amended contract described below) of air-cooled warehouses and the 20 MW of hydro containers, expected to be completed during the first quarter of 2024. The construction is progressing as planned with the finalization of underground cable connections in March 2024. The transformer was delivered in March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the Company amended the contract for an additional 20 MW of energy at the Paso Pe facility, enabling a larger expansion at the site from 50 MW to 70 MW.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revised cost of developing the expanded 50 MW of air-cooled warehouse, constructing the substation capable of accommodating the total energy requirement, and the installation of the high voltage lines, is estimated to range from $25.0 million to $28.0 million, excluding the cost of the power purchase agreement guarantees required by Administración Nacional de Electricidad (“ANDE”), the operator of Paraguay national electricity grid, for securing monthly electricity purchase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Position as of December 31,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placed deposits of $3.2 million and $2.4 million with suppliers for construction costs and for electrical components, respectively. As of December 31, 2023, property, plant and equipment includes $2.5 million related to the Paso Pe facility, including warehouse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facility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 purchased the land for the 100 MW Yguazu facility. The Company expects construction to begin in March 2024 and to complete the facility during the second half of 2024. The cost of developing the 100 MW facility and the installation of the high voltage lines is estimated to range from $34.0 million to $37.0 million, excluding the cost of the power purchase agreement guarantees required by ANDE.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expects to complete construction of its Paso Pe and Yguazu facilities and install its new T21 Miners and WhatsMiner M53S Miners during 2024, which will increase the Paraguay online hashrate from 0.3 EH/s to 3.6 EH/s by June 30, 2024, and, provided that the Purchase Option is exercised, 6.9 EH/s by December 31, 2024.</w:t>
      </w:r>
    </w:p>
    <w:p>
      <w:pPr>
        <w:spacing w:after="0" w:line="182"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Washington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update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for a 6 MW expansion that is estimated to be energized in the first quarter of 2024. The Company began constructing an additional production facility on Company-owned land in June 2023 with an estimated cost of $2.1 million, including $0.9 million paid in Q2 2023 to the power supplier for establishing the connection. In connection with the new facility, in January 2024, the Company elected to cancel the lease of a 5 MW facility in Washington State in order to transfer Miners from the leased facility to the newly constructed 6 MW facility with completion expected in March 2024. The cancellation of the lease will take effect in April 2024. In February 2024, the power supplier established the electricity connection allowing the Company, subject to the completion of the civil work, to access 6 MW of hydro power capacity.</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the Company de-energized its 2 MW immersion cooling pilot project as the equipment did not perform to the Company’s expectations of performance and operating costs. The 2 MW of hydro-electricity remains available to the Company for future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2023, the Company upgraded ventilation and cooling systems, increasing average uptime.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plan</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expects to upgrade a portion of its current fleet of miners in Washington during Q1 2024 with new T21 Miners, which will increase the online hashrate from 0.6 EH/s to 0.7 EH/s by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background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the Company entered into agreements to acquire shares of a Company that owns the right to consume 22 MW of hydro power capacity in Baie-Comeau, Quebec, and to lease a site to install the infrastructure to operate the acquired capacity. When fully utilized, the 22 MW is expected to add over 600 PH/s. The Baie-Comeau area is home to five hydro-electricity generation facilities with over 5.4 Gigawatts of nameplate capacity.</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completed the acquisition. The consideration transferred at closing totaled $2.0 million (CAD$2.6 million), of which $0.6 million (CAD$0.8 million) was paid in cash and $1.4 million (CAD$1.8 million) was paid through the issuance of 821,000 common shares of the Company. The lease agreement is for an industrial site in Baie-Comeau for an initial term of 10 years and provides the Company with the option to purchase the site for $2.2 million (CAD $3.0 million) with an annual adjustment at the lesser of (i) the change in the Consumer Price Index and (ii) 3% throughout the lease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2023 and 2024 plan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Following the closing of the acquisition, the Company immediately commenced production at Baie-Comeau with an initial 3 MW online. In connection with the acquisition, the Company increased its total hashrate target to 6.3 EH/s, which was achieved on October 20, 2023.</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minimize development-related and build-out expenditures by relocating miners from other facilities to Baie-Comeau and by applying infrastructure equipment repurposed from the December 2022 sale of the former De La Pointe facility. In June and August 2023, approximately 2,500 WhatsMiner M31S+ miners were redeployed from Magog and installed at the Baie-Comeau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fully energized the 11 MW facility on October 20, 2023, and is planning to commission the remaining 11 MW during the second half of 2024 after local grid infrastructure improvements have been completed. The cost of electrical infrastructure and leasehold improvements for the first 11 MW of the facility totaled $2.8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continue to lease the property and complete the physical improvements for the second 11 MW by the third quarter of 2024. The Company expects the total cost to be approximately $9.2 million, including $3.9 million for the leasehold improvements, which will include construction of a new building and $2.5 million for the electrical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$5.0 million of property, plant and equipment at the Baie-Comeau facility, including infrastructure equipment that was repurposed from other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plan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expects to install new Miners in Canada during 2024 with new T21 Miners and WhatsMiner M53S Miners, which will increase the online hashrate from 4.0 EH/s to 6.1 EH/s by June 30, 2024 and, provided that the Purchase Option is exercised, 7.0 EH/s by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680" w:firstLine="8"/>
        <w:spacing w:after="0" w:line="391" w:lineRule="auto"/>
        <w:tabs>
          <w:tab w:leader="none" w:pos="18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33"/>
        </w:trPr>
        <w:tc>
          <w:tcPr>
            <w:tcW w:w="3080" w:type="dxa"/>
            <w:vAlign w:val="bottom"/>
          </w:tcPr>
          <w:p>
            <w:pPr>
              <w:spacing w:after="0" w:line="34" w:lineRule="exact"/>
              <w:rPr>
                <w:sz w:val="20"/>
                <w:szCs w:val="20"/>
                <w:color w:val="auto"/>
              </w:rPr>
            </w:pPr>
            <w:r>
              <w:rPr>
                <w:rFonts w:ascii="Times New Roman" w:cs="Times New Roman" w:eastAsia="Times New Roman" w:hAnsi="Times New Roman"/>
                <w:sz w:val="3"/>
                <w:szCs w:val="3"/>
                <w:color w:val="auto"/>
              </w:rPr>
              <w:t>indicated)</w:t>
            </w:r>
          </w:p>
        </w:tc>
        <w:tc>
          <w:tcPr>
            <w:tcW w:w="114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3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color w:val="auto"/>
              </w:rPr>
              <w:t>(3)</w:t>
            </w:r>
          </w:p>
        </w:tc>
        <w:tc>
          <w:tcPr>
            <w:tcW w:w="8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color w:val="auto"/>
              </w:rPr>
              <w:t>(3)</w:t>
            </w:r>
          </w:p>
        </w:tc>
        <w:tc>
          <w:tcPr>
            <w:tcW w:w="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27,037</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19,204</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0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142,428</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39,121</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5,363</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131,910</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35,958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1,757</w:t>
            </w:r>
          </w:p>
        </w:tc>
        <w:tc>
          <w:tcPr>
            <w:tcW w:w="9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(12,084)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13,841</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10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10,518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91"/>
        </w:trPr>
        <w:tc>
          <w:tcPr>
            <w:tcW w:w="3080" w:type="dxa"/>
            <w:vAlign w:val="bottom"/>
            <w:tcBorders>
              <w:bottom w:val="single" w:sz="8" w:color="auto"/>
            </w:tcBorders>
          </w:tcPr>
          <w:p>
            <w:pPr>
              <w:spacing w:after="0" w:line="284"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0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13,405</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11,972</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0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51,506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tcPr>
          <w:p>
            <w:pPr>
              <w:spacing w:after="0"/>
              <w:rPr>
                <w:sz w:val="20"/>
                <w:szCs w:val="20"/>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28,567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tcPr>
          <w:p>
            <w:pPr>
              <w:spacing w:after="0"/>
              <w:rPr>
                <w:sz w:val="20"/>
                <w:szCs w:val="20"/>
                <w:color w:val="auto"/>
              </w:rPr>
            </w:pP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150,810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11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(1,183)</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(23,284)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22,101</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disposition of property, plant</w:t>
            </w:r>
          </w:p>
        </w:tc>
        <w:tc>
          <w:tcPr>
            <w:tcW w:w="11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1,778</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equipment</w:t>
            </w:r>
          </w:p>
        </w:tc>
        <w:tc>
          <w:tcPr>
            <w:tcW w:w="1140" w:type="dxa"/>
            <w:vAlign w:val="bottom"/>
            <w:vMerge w:val="continue"/>
          </w:tcPr>
          <w:p>
            <w:pPr>
              <w:spacing w:after="0"/>
              <w:rPr>
                <w:sz w:val="20"/>
                <w:szCs w:val="20"/>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(415)</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vMerge w:val="continue"/>
          </w:tcPr>
          <w:p>
            <w:pPr>
              <w:spacing w:after="0"/>
              <w:rPr>
                <w:sz w:val="20"/>
                <w:szCs w:val="20"/>
                <w:color w:val="auto"/>
              </w:rPr>
            </w:pP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1,277</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(reversal) on short-term</w:t>
            </w: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deposits, equipment and</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prepayments, property,</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and equipment and right-of-use</w:t>
            </w:r>
          </w:p>
        </w:tc>
        <w:tc>
          <w:tcPr>
            <w:tcW w:w="114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2,270</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(8,903)</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11,173</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10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75,213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17,900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(12,737)</w:t>
            </w:r>
          </w:p>
        </w:tc>
        <w:tc>
          <w:tcPr>
            <w:tcW w:w="9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(20,021)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7,284</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(72,129)</w:t>
            </w:r>
          </w:p>
        </w:tc>
        <w:tc>
          <w:tcPr>
            <w:tcW w:w="10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(284,022)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90"/>
        </w:trPr>
        <w:tc>
          <w:tcPr>
            <w:tcW w:w="3080" w:type="dxa"/>
            <w:vAlign w:val="bottom"/>
            <w:tcBorders>
              <w:bottom w:val="single" w:sz="8" w:color="auto"/>
            </w:tcBorders>
          </w:tcPr>
          <w:p>
            <w:pPr>
              <w:spacing w:after="0" w:line="284"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44,800</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(7,128)</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51,928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729%</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(90,966)</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123,274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(57,537)</w:t>
            </w:r>
          </w:p>
        </w:tc>
        <w:tc>
          <w:tcPr>
            <w:tcW w:w="98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(12,893)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(44,644)</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(193,056)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(378)</w:t>
            </w:r>
          </w:p>
        </w:tc>
        <w:tc>
          <w:tcPr>
            <w:tcW w:w="9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191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(401)</w:t>
            </w: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(17,412)</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(57,159)</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(13,084)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(44,075)</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337%</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(104,036)</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(175,644)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71,608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loss per share (in U.S.</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(0.19)</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(0.06)</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(0.40)</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(0.85)</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net of tax</w:t>
            </w:r>
          </w:p>
        </w:tc>
        <w:tc>
          <w:tcPr>
            <w:tcW w:w="11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7,675</w:t>
            </w:r>
          </w:p>
        </w:tc>
        <w:tc>
          <w:tcPr>
            <w:tcW w:w="9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9,242</w:t>
            </w:r>
          </w:p>
        </w:tc>
        <w:tc>
          <w:tcPr>
            <w:tcW w:w="10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(49,484)</w:t>
            </w: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(13,084)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278%</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(94,794)</w:t>
            </w:r>
          </w:p>
        </w:tc>
        <w:tc>
          <w:tcPr>
            <w:tcW w:w="10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(175,644)</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80,850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23,357</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8,494</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14,863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82,584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w:t>
            </w: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(35,656)</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10,955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(16,993)</w:t>
            </w: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(106,871)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89,878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(77)%</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1,982</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0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54,686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3080" w:type="dxa"/>
            <w:vAlign w:val="bottom"/>
            <w:tcBorders>
              <w:bottom w:val="single" w:sz="8" w:color="auto"/>
            </w:tcBorders>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5" w:lineRule="auto"/>
        <w:tabs>
          <w:tab w:leader="none" w:pos="340" w:val="left"/>
        </w:tabs>
        <w:numPr>
          <w:ilvl w:val="0"/>
          <w:numId w:val="1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055"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$46.2 million in Q4 2023, compared to $27.0 million in Q4 2022, an increase of $19.2 million, or 71%.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Q4 2023, compared to Q4 2022, are presented in the table below. Revenues increased mostly due to the increase in average Bitfarms’ BTC hashrate and average BTC price, partially offset by lower BTC earned as a result of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3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BTC and revenues, including Volta, for the three months ended December 31,</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55"/>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1,434</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27,037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Q4 2023 as compared to Q4</w:t>
            </w: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(799)</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Q4 2023 as</w:t>
            </w: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compared to Q4 2022</w:t>
            </w: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601</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23,480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Q4 2023 as compared to Q4 2022</w:t>
            </w: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7"/>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three months ended December 31, 2023</w:t>
            </w:r>
          </w:p>
        </w:tc>
        <w:tc>
          <w:tcPr>
            <w:tcW w:w="1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46,311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bl>
    <w:p>
      <w:pPr>
        <w:spacing w:after="0" w:line="198" w:lineRule="exact"/>
        <w:rPr>
          <w:sz w:val="20"/>
          <w:szCs w:val="20"/>
          <w:color w:val="auto"/>
        </w:rPr>
      </w:pPr>
    </w:p>
    <w:p>
      <w:pPr>
        <w:sectPr>
          <w:pgSz w:w="11900" w:h="16838" w:orient="portrait"/>
          <w:cols w:equalWidth="0" w:num="1">
            <w:col w:w="11240"/>
          </w:cols>
          <w:pgMar w:left="320" w:top="266" w:right="339" w:bottom="1440" w:gutter="0" w:footer="0" w:header="0"/>
        </w:sectPr>
      </w:pPr>
    </w:p>
    <w:p>
      <w:pPr>
        <w:ind w:left="80"/>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Calculated as the difference in BTC earned in Q4 2023 compared to Q4 2022, based on the change in network difficulty, multiplied by Q4 2023 average BTC price</w:t>
      </w:r>
    </w:p>
    <w:p>
      <w:pPr>
        <w:ind w:right="60"/>
        <w:spacing w:after="0" w:line="250" w:lineRule="auto"/>
        <w:rPr>
          <w:sz w:val="20"/>
          <w:szCs w:val="20"/>
          <w:color w:val="auto"/>
        </w:rPr>
      </w:pPr>
      <w:r>
        <w:rPr>
          <w:rFonts w:ascii="Times New Roman" w:cs="Times New Roman" w:eastAsia="Times New Roman" w:hAnsi="Times New Roman"/>
          <w:sz w:val="18"/>
          <w:szCs w:val="18"/>
          <w:color w:val="auto"/>
        </w:rPr>
        <w:t>Calculated as the difference in BTC earned in Q4 2023 compared to Q4 2022, based on the change in Bitfarms’ average BTC hashrate, multiplied by Q4 2023 average BTC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as the difference in average BTC price in Q4 2023 compared to Q4 2022 multiplied by BTC earned in Q4 2022</w:t>
      </w:r>
    </w:p>
    <w:p>
      <w:pPr>
        <w:spacing w:after="0" w:line="200" w:lineRule="exact"/>
        <w:rPr>
          <w:sz w:val="20"/>
          <w:szCs w:val="20"/>
          <w:color w:val="auto"/>
        </w:rPr>
      </w:pPr>
    </w:p>
    <w:p>
      <w:pPr>
        <w:sectPr>
          <w:pgSz w:w="11900" w:h="16838" w:orient="portrait"/>
          <w:cols w:equalWidth="0" w:num="2">
            <w:col w:w="500" w:space="120"/>
            <w:col w:w="10620"/>
          </w:cols>
          <w:pgMar w:left="320" w:top="26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by country: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40" w:type="dxa"/>
            <w:vAlign w:val="bottom"/>
            <w:tcBorders>
              <w:bottom w:val="single" w:sz="8" w:color="auto"/>
            </w:tcBorders>
          </w:tcPr>
          <w:p>
            <w:pPr>
              <w:spacing w:after="0"/>
              <w:rPr>
                <w:sz w:val="21"/>
                <w:szCs w:val="21"/>
                <w:color w:val="auto"/>
              </w:rPr>
            </w:pPr>
          </w:p>
        </w:tc>
      </w:tr>
      <w:tr>
        <w:trPr>
          <w:trHeight w:val="237"/>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30,257</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21,566</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8,691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4,291</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3,445</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1,297</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8,532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7"/>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729</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6"/>
        </w:trPr>
        <w:tc>
          <w:tcPr>
            <w:tcW w:w="51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27,037</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19,204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53"/>
        </w:trPr>
        <w:tc>
          <w:tcPr>
            <w:tcW w:w="5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40" w:type="dxa"/>
            <w:vAlign w:val="bottom"/>
            <w:tcBorders>
              <w:bottom w:val="single" w:sz="8" w:color="auto"/>
            </w:tcBorders>
          </w:tcPr>
          <w:p>
            <w:pPr>
              <w:spacing w:after="0"/>
              <w:rPr>
                <w:sz w:val="24"/>
                <w:szCs w:val="24"/>
                <w:color w:val="auto"/>
              </w:rPr>
            </w:pPr>
          </w:p>
        </w:tc>
      </w:tr>
      <w:tr>
        <w:trPr>
          <w:trHeight w:val="237"/>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6"/>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6"/>
        </w:trPr>
        <w:tc>
          <w:tcPr>
            <w:tcW w:w="514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Q4 2023 v. Q4 2022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Canadian operations accounted for a smaller portion of total revenues in Q4 2023 largely due to the expansion of operations in Argentina. Bitfarms earned the majority of its revenues from its Canadian operations in Q4 2023, which accounted for 66% of total revenues, compared to 80% in Q4 2022. The Argentina, U.S. and Paraguay operations accounted for 21%, 9% and 4% of total revenues in Q4 2023, respectively, compared to 5%, 13% and 2% in Q4 2022, respectively. The average hashrate increase of the Canada, Argentina and Paraguay operations of 0.5 EH/s, or 15%, 1.0 EH/s, or 500%, and 0.2 EH/s, or 200%, respectively, and the increase in average BTC price, partially offset by the increase in network difficulty, resulted in Q4 2023 higher revenues from the Company’s operations in those jurisdictions increasing by $8.7 million, $8.5 million and $1.1 million, respectively, compared to Q4 2022. Revenues from the USA operations increased by $0.8 million in Q4 2023 as compared to Q4 2022 due to the increase in average BTC price, partially offset by the impact of the increase in network difficulty.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$146.4 million in FY 2023, compared to $142.4 million in FY 2022, an increase of $3.9 million, or 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FY 2023, compared to FY 2022, are presented in the table below. Revenues increased mostly due to the increase in average BTC price and the increase in average Bitfarms’ hashrate, partially offset by the increase in network difficulty.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3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year ended December 31, 2022</w:t>
            </w:r>
          </w:p>
        </w:tc>
        <w:tc>
          <w:tcPr>
            <w:tcW w:w="1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5,167</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142,428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FY 2023 as compared to FY</w:t>
            </w: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(3,093)</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(88,667)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6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FY 2023 as</w:t>
            </w: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compared to FY 2022</w:t>
            </w:r>
          </w:p>
        </w:tc>
        <w:tc>
          <w:tcPr>
            <w:tcW w:w="12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3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2,854</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81,814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FY 2023 as compared to FY 2022</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6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1,751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BTC and revenues for the year ended December 31, 2023</w:t>
            </w:r>
          </w:p>
        </w:tc>
        <w:tc>
          <w:tcPr>
            <w:tcW w:w="1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4,928</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146,436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7" w:lineRule="exact"/>
        <w:rPr>
          <w:sz w:val="20"/>
          <w:szCs w:val="20"/>
          <w:color w:val="auto"/>
        </w:rPr>
      </w:pPr>
    </w:p>
    <w:p>
      <w:pPr>
        <w:ind w:left="580" w:hanging="572"/>
        <w:spacing w:after="0"/>
        <w:tabs>
          <w:tab w:leader="none" w:pos="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FY 2023 compared to FY 2022, based on the change in network difficulty, multiplied by FY 2023</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average BTC price</w:t>
      </w:r>
    </w:p>
    <w:p>
      <w:pPr>
        <w:spacing w:after="0" w:line="7" w:lineRule="exact"/>
        <w:rPr>
          <w:sz w:val="20"/>
          <w:szCs w:val="20"/>
          <w:color w:val="auto"/>
        </w:rPr>
      </w:pPr>
    </w:p>
    <w:p>
      <w:pPr>
        <w:ind w:left="580" w:hanging="572"/>
        <w:spacing w:after="0"/>
        <w:tabs>
          <w:tab w:leader="none" w:pos="5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BTC earned in FY 2023 compared to FY 2022, based on the change in Bitfarms’ average BTC hashrate, multiplied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FY 2023 average BTC price</w:t>
      </w:r>
    </w:p>
    <w:p>
      <w:pPr>
        <w:spacing w:after="0" w:line="9" w:lineRule="exact"/>
        <w:rPr>
          <w:sz w:val="20"/>
          <w:szCs w:val="20"/>
          <w:color w:val="auto"/>
        </w:rPr>
      </w:pPr>
    </w:p>
    <w:p>
      <w:pPr>
        <w:ind w:left="580" w:hanging="572"/>
        <w:spacing w:after="0"/>
        <w:tabs>
          <w:tab w:leader="none" w:pos="5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in average BTC price in FY 2023 compared to FY 2022 multiplied by BTC earned in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2023 v. FY 2022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by country: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104,434</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112,106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(7,672)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15,966</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25,095</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(9,129)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19,050</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1,455</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17,595</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6,916</w:t>
            </w: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3,772</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3,144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506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4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142,428</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3,938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nm: not meaningful</w:t>
            </w:r>
          </w:p>
        </w:tc>
        <w:tc>
          <w:tcPr>
            <w:tcW w:w="2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0.6</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0.6</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2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0.7</w:t>
            </w:r>
          </w:p>
        </w:tc>
        <w:tc>
          <w:tcPr>
            <w:tcW w:w="1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2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0.3</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6"/>
        </w:trPr>
        <w:tc>
          <w:tcPr>
            <w:tcW w:w="506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Canadian operations accounted for a smaller proportion of total revenues in FY 2023 largely due to the expansion of operations in Argentina. Bitfarms earned the majority of its revenues from its Canadian operations in FY 2023, which accounted for 71% of total revenues, compared to 78% in FY 2022. The Argentina, USA and Paraguay operations accounted for 13%, 11% and 5% of total revenues in FY 2023, respectively, compared to 1%, 18% and 3% in FY 2022, respectively. For the Company’s Canadian operations, the impact of the increase in network difficulty was partially offset by the increase in average BTC price and the average hashrate increase of 1.0 EH/s, or 38%, which resulted in revenues decreasing by $7.7 million during FY 2023 as compared to FY 2022. Revenues from the Company’s U.S. operations decreased by $9.1 million during FY 2023 as compared to FY 2022 due to the increase in network difficulty, partially offset by the increase in average BTC price. The average hashrate increase of the Argentina and Paraguay operations of 0.6 EH/s, or 500%, and 0.2 EH/s, or 200%, respectively, resulted in FY 2023 revenues increasing by $17.6 million and $3.1 million, respectively, compared to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0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 Change</w:t>
            </w:r>
          </w:p>
        </w:tc>
        <w:tc>
          <w:tcPr>
            <w:tcW w:w="9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21,603</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17,445</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4,158</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78,942</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56,415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22,527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20,777</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72,420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12,365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24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Purchases of electrical</w:t>
            </w:r>
          </w:p>
        </w:tc>
        <w:tc>
          <w:tcPr>
            <w:tcW w:w="10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750</w:t>
            </w:r>
          </w:p>
        </w:tc>
        <w:tc>
          <w:tcPr>
            <w:tcW w:w="10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2,580</w:t>
            </w: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w:t>
            </w:r>
          </w:p>
        </w:tc>
        <w:tc>
          <w:tcPr>
            <w:tcW w:w="106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1,759</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Electrician salaries and</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1,316</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42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39,121</w:t>
            </w:r>
          </w:p>
        </w:tc>
        <w:tc>
          <w:tcPr>
            <w:tcW w:w="12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5,363</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131,910</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35,958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cost of revenues for Q4 2023 was $44.5 million compared to $39.1 million for Q4 2022. The increase in cost of revenues was mainly attributable to:</w:t>
      </w:r>
    </w:p>
    <w:p>
      <w:pPr>
        <w:jc w:val="both"/>
        <w:ind w:left="340" w:hanging="332"/>
        <w:spacing w:after="0" w:line="250" w:lineRule="auto"/>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or 24%, increase in energy and infrastructure expenses, mainly due to the Company adding new Miners, which increased energy utilization to an average of 218 MW during Q4 2023 versus 169 MW for the same period in 2022, partially offset by lower average energy rates in Q4 2023, resulting in an increase in total electricity costs of $3.6 million. The availability and pricing of energy may be negatively affected by governmental or regulatory changes in energy policies in the countries, provinces and states where the Company operates.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non-cash depreciation and amortization expense as the Company added new Miners and electrical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decrease in rent expense of $0.5 million, mainly due to the capitalization of the leased Washington facility, which was renewed in Q4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cost of revenues was $167.9 million for FY 2023 compared to $131.9 million for FY 2022. The increase in cost of revenues was mainly due to:</w:t>
      </w:r>
    </w:p>
    <w:p>
      <w:pPr>
        <w:spacing w:after="0" w:line="27" w:lineRule="exact"/>
        <w:rPr>
          <w:sz w:val="20"/>
          <w:szCs w:val="20"/>
          <w:color w:val="auto"/>
        </w:rPr>
      </w:pPr>
    </w:p>
    <w:p>
      <w:pPr>
        <w:jc w:val="both"/>
        <w:ind w:left="340" w:hanging="332"/>
        <w:spacing w:after="0" w:line="250" w:lineRule="auto"/>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$22.5 million, or 40%, increase in energy and infrastructure expenses, mainly due to the Company adding new Miners and upgrading its fleet, which increased energy utilization to an average of 193 MW during FY 2023 compared to 137 MW for the same period in 2022, and higher energy rates in 2023, resulting in an increase in electricity costs of $23.5 million.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 million increase in non-cash depreciation and amortization expense as the Company added new Miners and electrical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decrease in rent expense of $1.8 million, mainly due to the capitalization of the leased Washington facility which was renewed in Q4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1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1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6"/>
              </w:rPr>
              <w:t>% Change</w:t>
            </w:r>
          </w:p>
        </w:tc>
        <w:tc>
          <w:tcPr>
            <w:tcW w:w="8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Salaries and share-based</w:t>
            </w:r>
          </w:p>
        </w:tc>
        <w:tc>
          <w:tcPr>
            <w:tcW w:w="11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8,969</w:t>
            </w: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24,105</w:t>
            </w: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16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6,392</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2,577</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w:t>
            </w:r>
          </w:p>
        </w:tc>
        <w:tc>
          <w:tcPr>
            <w:tcW w:w="86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30,040</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2,283</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3,592</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(1,309)</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7,608</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10,051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1,591</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1,419</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5,668</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9,370</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Travel, motor vehicle and</w:t>
            </w:r>
          </w:p>
        </w:tc>
        <w:tc>
          <w:tcPr>
            <w:tcW w:w="11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340</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1,018</w:t>
            </w: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meals</w:t>
            </w:r>
          </w:p>
        </w:tc>
        <w:tc>
          <w:tcPr>
            <w:tcW w:w="1160" w:type="dxa"/>
            <w:vAlign w:val="bottom"/>
            <w:vMerge w:val="continue"/>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vMerge w:val="continue"/>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1,152</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Hosting and</w:t>
            </w:r>
          </w:p>
        </w:tc>
        <w:tc>
          <w:tcPr>
            <w:tcW w:w="116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91</w:t>
            </w: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116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182</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491</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333</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13,405</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11,972</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1,433</w:t>
            </w: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39,292</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51,506</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(12,214)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general and administrative (“G&amp;A”) expenses were $13.4 million in Q4 2023, compared to $12.0 million for Q4 2022. The increase of $1.4 million, or 12%, in G&amp;A expense was largely due to:</w:t>
      </w:r>
    </w:p>
    <w:p>
      <w:pPr>
        <w:spacing w:after="0" w:line="162" w:lineRule="exact"/>
        <w:rPr>
          <w:sz w:val="20"/>
          <w:szCs w:val="20"/>
          <w:color w:val="auto"/>
        </w:rPr>
      </w:pPr>
    </w:p>
    <w:p>
      <w:pPr>
        <w:ind w:left="340" w:right="20" w:hanging="332"/>
        <w:spacing w:after="0" w:line="282" w:lineRule="auto"/>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increase in salaries and wages due to the increase in the Company’s headcount in 2023 compared to 2022 to support the global expansion as well as merit, market-based adjustments and cost of living salary increases.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professional services mainly due to the termination payments to two executive officers whose consulting agreements were terminated and executive responsibilities transferred to other existing employees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FY 2023, Bitfarms’ G&amp;A expenses were $39.3 million, compared to $51.5 million for the same period in 2022. The decrease of $12.2 million, or 24%, in G&amp;A expenses was mainly due to:</w:t>
      </w:r>
    </w:p>
    <w:p>
      <w:pPr>
        <w:spacing w:after="0" w:line="162"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$10.9 million decrease in non-cash share-based payment expense in connection with:</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granted in 2021 with fair values between $3.16 to $5.97 had a higher share-based payment expense in FY 2022 than FY 2023 due to the time-based vesting method, which resulted in an accelerated recognition of share-based expense in earlier periods.</w:t>
      </w:r>
    </w:p>
    <w:p>
      <w:pPr>
        <w:jc w:val="both"/>
        <w:ind w:left="980" w:hanging="324"/>
        <w:spacing w:after="0" w:line="250" w:lineRule="auto"/>
        <w:tabs>
          <w:tab w:leader="none" w:pos="980" w:val="left"/>
        </w:tabs>
        <w:numPr>
          <w:ilvl w:val="1"/>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those 2021 stock options were fully vested or cancelled at the end of the first quarter of 2023, which resulted in accelerated share-based payment expense of $0.9 million during FY 2023. Refer to Note 27 to the Financial Statements for more details. The Company only incurred the share-based payment expense for those cancelled options during the first 3 months of FY 2023, compared to the graded vesting expense in FY 2022.</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line="250"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decrease in professional fees mainly due to the termination of consulting agreements with two executive officers in the fourth quarter of 2022 and with the previous owner of the Company’s Mining facility in Washington State in the first quarter of 2023.</w:t>
      </w:r>
    </w:p>
    <w:p>
      <w:pPr>
        <w:ind w:left="340" w:right="20" w:hanging="332"/>
        <w:spacing w:after="0" w:line="250"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the Company’s insurance expense mostly due to refunds from insurers and lower premiums reflecting lower asset values, particularly Miners, due to general market conditions, partially offset by a larger number of Miners.</w:t>
      </w:r>
    </w:p>
    <w:p>
      <w:pPr>
        <w:ind w:left="340" w:hanging="332"/>
        <w:spacing w:after="0" w:line="260"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$1.8 million of shipping costs and duties in FY 2022 from transferring older generation Miners from the Company’s facilities in Canada to the Villarrica, Paraguay facility, which did not occur in FY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increase in salaries and wages as a result of hiring additional employees in FY 2023 compared to FY 2022 to support the global expansion as well as merit, market-based adjustments and cost of living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financial expenses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0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 Change</w:t>
            </w:r>
          </w:p>
        </w:tc>
        <w:tc>
          <w:tcPr>
            <w:tcW w:w="9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37,874</w:t>
            </w: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38,088</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(3,759)</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41,633</w:t>
            </w:r>
          </w:p>
        </w:tc>
        <w:tc>
          <w:tcPr>
            <w:tcW w:w="1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(63,406)</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101,494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(999)</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vMerge w:val="continue"/>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(7,317)</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6,318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vMerge w:val="continue"/>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(51,649)</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lease</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(530)</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(330)</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(1,420)</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2,783</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1,061</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1,722</w:t>
            </w: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162%</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7,842</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2,945</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credit facility and</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283</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2,688</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vMerge w:val="continue"/>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2,854</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(2,571)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vMerge w:val="continue"/>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12,770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338</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1,391</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1,451</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2,000</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2,000</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expense (income)</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3,155</w:t>
            </w: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5,903</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VAT receivable</w:t>
            </w:r>
          </w:p>
        </w:tc>
        <w:tc>
          <w:tcPr>
            <w:tcW w:w="1080" w:type="dxa"/>
            <w:vAlign w:val="bottom"/>
            <w:vMerge w:val="continue"/>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3,334</w:t>
            </w:r>
          </w:p>
        </w:tc>
        <w:tc>
          <w:tcPr>
            <w:tcW w:w="1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6,750</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financial (income)</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(104)</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896</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629</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44,800</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(7,128)</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51,928</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729%</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32,308</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(90,966)</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123,274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Bitfarms’ net financial expenses were $44.8 million for Q4 2023, compared to net financial income of $7.1 million for Q4 2022. The $51.9 million change was primarily related to:</w:t>
      </w:r>
    </w:p>
    <w:p>
      <w:pPr>
        <w:spacing w:after="0" w:line="162" w:lineRule="exact"/>
        <w:rPr>
          <w:sz w:val="20"/>
          <w:szCs w:val="20"/>
          <w:color w:val="auto"/>
        </w:rPr>
      </w:pPr>
    </w:p>
    <w:p>
      <w:pPr>
        <w:ind w:left="340" w:hanging="332"/>
        <w:spacing w:after="0" w:line="261"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$41.6 million change in loss (gain) on revaluation of warrants due to the increase in the fair value of the warrant liabilities for the 2021 and 2023 private placements in Q4 2023 compared to the decrease of the fair value of the warrant liabilities for the 2021 private placements in Q4 2022.</w:t>
      </w:r>
    </w:p>
    <w:p>
      <w:pPr>
        <w:jc w:val="both"/>
        <w:ind w:left="340" w:hanging="332"/>
        <w:spacing w:after="0" w:line="250"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$6.3 million decrease in the gain on disposition of marketable securities due to less funds being sent to Argentina in Q4 2023 compared to Q4 2022 as the capital expenditures related to the first facility were mostly paid in 2022. The Company has been utilizing a mechanism since Q3 2021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provision expense on VAT receivable due to the provision recorded in Q4 2023 to reduce the Argentine VAT receivable to nil as a result of the political and economic uncertainties in Argentina.</w:t>
      </w:r>
    </w:p>
    <w:p>
      <w:pPr>
        <w:ind w:left="340" w:hanging="332"/>
        <w:spacing w:after="0" w:line="250" w:lineRule="auto"/>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loss on foreign exchange due to the revaluation of the Company’s net monetary assets denominated in foreign currencies following the weakening of the Argentine Pesos at the end of Q4 2023 compared to the end of Q4 2022.</w:t>
      </w: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warrant issuance costs for the 2023 private placements in Q4 2023 compared to no warrants issued in Q4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expenses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Q4 2023 v. Q4 2022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9" w:lineRule="exact"/>
        <w:rPr>
          <w:sz w:val="20"/>
          <w:szCs w:val="20"/>
          <w:color w:val="auto"/>
        </w:rPr>
      </w:pPr>
    </w:p>
    <w:p>
      <w:pPr>
        <w:jc w:val="both"/>
        <w:ind w:left="340" w:hanging="332"/>
        <w:spacing w:after="0" w:line="253"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interest expense due to (i) the $100 million credit facility that commenced on December 30, 2021 and was fully repaid and extinguished in December 2022, (ii) the BlockFi Loan that commenced on February 18, 2022 and was extinguished in February 2023 as described below and (iii) the NYDIG Loan that commenced on June 15, 2022. The NYDIG Loan is classified as long-term debt in the statements of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Bitfarms’ net financial expenses were $32.3 million for FY 2023, compared to net financial income of $91.0 million for FY 2022. The $123.3 million change was mainly due to:</w:t>
      </w:r>
    </w:p>
    <w:p>
      <w:pPr>
        <w:spacing w:after="0" w:line="162" w:lineRule="exact"/>
        <w:rPr>
          <w:sz w:val="20"/>
          <w:szCs w:val="20"/>
          <w:color w:val="auto"/>
        </w:rPr>
      </w:pPr>
    </w:p>
    <w:p>
      <w:pPr>
        <w:ind w:left="340" w:hanging="332"/>
        <w:spacing w:after="0" w:line="261"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$101.5 million change in loss (gain) on revaluation of warrants due to the increase in the fair value of the warrant liabilities for the 2021 and 2023 private placements in FY 2023 compared to the decrease in the fair value of the warrant liabilities for the 2021 private placements in FY 2022.</w:t>
      </w:r>
    </w:p>
    <w:p>
      <w:pPr>
        <w:jc w:val="both"/>
        <w:ind w:left="340" w:hanging="332"/>
        <w:spacing w:after="0" w:line="250"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$39.4 million decrease in gain on disposition of marketable securities due to less funds being sent to Argentina during FY 2023 compared to FY 2022. The Company utilizes a mechanism beginning in Q3 2021 in which its Argentina expansion was funded as explained in the Q4 2023 v. Q4 2022 section above.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loss on foreign exchange due to the revaluation of the Company’s net monetary assets denominated in foreign currencies following the weakening of the Argentine Pesos at the end of Q4 2023 compared to the end of Q4 2022.</w:t>
      </w: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warrant issuance costs for the 2023 private placements in FY 2023 compared to no warrants issued in FY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FY 2023. In February 2023:</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and the Company negotiated a settlement of the loan in its entirety for cash consideration of $7.8 million, resulting in a gain on extinguishment of long-term debt of $12.6 million; and</w:t>
      </w:r>
    </w:p>
    <w:p>
      <w:pPr>
        <w:jc w:val="both"/>
        <w:ind w:left="980" w:hanging="324"/>
        <w:spacing w:after="0" w:line="250" w:lineRule="auto"/>
        <w:tabs>
          <w:tab w:leader="none" w:pos="9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$10.1 million decrease in interest expense due to the same factors explained in the Q4 2023 v. Q4 2022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impairment loss on short-term prepaid deposits, equipment and construction prepayments, property, plant and equipment and right-of-use assets recorded in Q4 2023 amounted to $2.3 million, compared to a net impairment reversal of $8.9 million in Q4 2022. The net impairment loss recorded in FY 2023 amounted to $12.3 million, compared to $93.1 million in FY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Company entered into agreements with external brokers to be able to proceed with the importation of its miners into Argentina. Under the agreements, the Company was required to make advance deposits to the external brokers, which were classified as short-term prepaid deposits on the consolidated statements of financial position.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Argentinian government changed the importations system previously in place and imposed additional controls on imports into Argentina as a means of limiting the outflow of U.S. dollars from the country. In the first quarter of 2023, the Company was able to apply for a self-importation license based on its extended operating history in Argentina and successfully became a self-importer in Argentina to reduce the importation expenses and facilitate the importation of Miners and related equipment. Accordingly, the Company terminated all pending importation agreements with external brokers as of June 30,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$7.0 million. Accordingly, during the second quarter of 2023, the Company impaired $7.0 million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 million based on an independent appraiser’s valuation. Suni is an iron ore deposit located in Canada that was held by the acquiree. Since its acquisition, following the presence of impairment indicators, the Suni mineral asset was written down to a net book value of $3.0 million as of December 31, 2022.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cash-generating unit for impairment, resulting in a further impairment charge of $3.0 million and bringing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Impairment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electrical components during the fourth quarter of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in connection with the planned disposal of the de-energized immersion cooling electrical components, Management tested those assets for impairment, resulting in an impairment charge of $1.9 million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SELECTED QUARTERLY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Comparative figures have been restated and will be corrected in subsequently filed quarterly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(U.S. $ in thousands</w:t>
            </w:r>
          </w:p>
        </w:tc>
        <w:tc>
          <w:tcPr>
            <w:tcW w:w="12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except earnings per share)</w:t>
            </w: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Q3 2023</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Q2 2023</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Q1 2023</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Q4 2022</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Q3 2022</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Q2 2022</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Q1 2022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34,596</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35,479</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30,050</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27,037</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33,247</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41,815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40,329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(57,159)</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(16,507)</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(26,083)</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(4,287)</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(13,084)</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(82,728)</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(106,395)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26,563</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net (loss) earnings</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(0.19)</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(0.02)</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(0.06)</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(0.39)</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(0.52)</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(loss) income before</w:t>
            </w:r>
          </w:p>
        </w:tc>
        <w:tc>
          <w:tcPr>
            <w:tcW w:w="1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(57,537)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(16,106)</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(26,177)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(4,617)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(12,893)</w:t>
            </w:r>
          </w:p>
        </w:tc>
        <w:tc>
          <w:tcPr>
            <w:tcW w:w="12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(87,453)</w:t>
            </w: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(125,711)</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33,001</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and</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91</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368</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1,354</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3,071</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3,221</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4,492</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21,767</w:t>
            </w:r>
          </w:p>
        </w:tc>
        <w:tc>
          <w:tcPr>
            <w:tcW w:w="11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20,528</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20,700</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20,777</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20,720</w:t>
            </w:r>
          </w:p>
        </w:tc>
        <w:tc>
          <w:tcPr>
            <w:tcW w:w="12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17,857</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57"/>
        </w:trPr>
        <w:tc>
          <w:tcPr>
            <w:tcW w:w="21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29"/>
                <w:szCs w:val="29"/>
                <w:b w:val="1"/>
                <w:bCs w:val="1"/>
                <w:color w:val="auto"/>
                <w:vertAlign w:val="superscript"/>
              </w:rPr>
              <w:t>(1)</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(35,656)</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6,029</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(4,803)</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17,437</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10,955</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(63,512)</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(103,362)</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49,048</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auto"/>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(77)%</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3,906</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2,011</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2,462</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2,536</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3,795</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3,961</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7,927</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of digital assets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28,567</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44,329</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77,880</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w:t>
            </w: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(1,183)</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loss on digital assets</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1,183</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(23,284)</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(45,655)</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70,475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lease</w:t>
            </w:r>
          </w:p>
        </w:tc>
        <w:tc>
          <w:tcPr>
            <w:tcW w:w="12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(12,835)</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short-term prepaid</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deposits, equipment and</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prepayments,</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w:t>
            </w: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right-of-</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2,270</w:t>
            </w: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use assets</w:t>
            </w:r>
          </w:p>
        </w:tc>
        <w:tc>
          <w:tcPr>
            <w:tcW w:w="1200" w:type="dxa"/>
            <w:vAlign w:val="bottom"/>
            <w:vMerge w:val="continue"/>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9,982</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(8,903)</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84,116</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17,900</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w:t>
            </w:r>
          </w:p>
        </w:tc>
        <w:tc>
          <w:tcPr>
            <w:tcW w:w="12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37,874</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of warrants</w:t>
            </w:r>
          </w:p>
        </w:tc>
        <w:tc>
          <w:tcPr>
            <w:tcW w:w="1200" w:type="dxa"/>
            <w:vAlign w:val="bottom"/>
            <w:vMerge w:val="continue"/>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(2,196)</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1,189</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1,221</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(3,759)</w:t>
            </w: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(2,080)</w:t>
            </w: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(35,523)</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(22,044)</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w:t>
            </w:r>
          </w:p>
        </w:tc>
        <w:tc>
          <w:tcPr>
            <w:tcW w:w="120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(999)</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0" w:type="dxa"/>
            <w:vAlign w:val="bottom"/>
            <w:vMerge w:val="continue"/>
            <w:shd w:val="clear" w:color="auto" w:fill="CCEEFF"/>
          </w:tcPr>
          <w:p>
            <w:pPr>
              <w:spacing w:after="0"/>
              <w:rPr>
                <w:sz w:val="20"/>
                <w:szCs w:val="20"/>
                <w:color w:val="auto"/>
              </w:rPr>
            </w:pP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(4,120)</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(4,955)</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(2,171)</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(7,317)</w:t>
            </w:r>
          </w:p>
        </w:tc>
        <w:tc>
          <w:tcPr>
            <w:tcW w:w="12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(13,690)</w:t>
            </w:r>
          </w:p>
        </w:tc>
        <w:tc>
          <w:tcPr>
            <w:tcW w:w="12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(19,705)</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financial expenses</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and other</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7,836</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3,812</w:t>
            </w: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3,920</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3,030</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1,928</w:t>
            </w: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2,974</w:t>
            </w: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4,304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56"/>
        </w:trPr>
        <w:tc>
          <w:tcPr>
            <w:tcW w:w="21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9"/>
                <w:szCs w:val="29"/>
                <w:b w:val="1"/>
                <w:bCs w:val="1"/>
                <w:color w:val="auto"/>
                <w:vertAlign w:val="superscript"/>
              </w:rPr>
              <w:t>(1)</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6,719</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7,795</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6,523</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1,982</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10,443</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19,896</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22,365</w:t>
            </w:r>
          </w:p>
        </w:tc>
        <w:tc>
          <w:tcPr>
            <w:tcW w:w="0" w:type="dxa"/>
            <w:vAlign w:val="bottom"/>
          </w:tcPr>
          <w:p>
            <w:pPr>
              <w:spacing w:after="0"/>
              <w:rPr>
                <w:sz w:val="1"/>
                <w:szCs w:val="1"/>
                <w:color w:val="auto"/>
              </w:rPr>
            </w:pPr>
          </w:p>
        </w:tc>
      </w:tr>
      <w:tr>
        <w:trPr>
          <w:trHeight w:val="197"/>
        </w:trPr>
        <w:tc>
          <w:tcPr>
            <w:tcW w:w="21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20" w:type="dxa"/>
            <w:vAlign w:val="bottom"/>
            <w:tcBorders>
              <w:bottom w:val="single" w:sz="8" w:color="auto"/>
            </w:tcBorders>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 xml:space="preserve">margin </w:t>
            </w:r>
            <w:r>
              <w:rPr>
                <w:rFonts w:ascii="Times New Roman" w:cs="Times New Roman" w:eastAsia="Times New Roman" w:hAnsi="Times New Roman"/>
                <w:sz w:val="29"/>
                <w:szCs w:val="29"/>
                <w:b w:val="1"/>
                <w:bCs w:val="1"/>
                <w:color w:val="auto"/>
                <w:vertAlign w:val="superscript"/>
              </w:rPr>
              <w:t>(1)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was in Quebec, where power was sourced directly from Hydro-Quebec, Hydro-Magog, Hydro-Sherbrooke and the City of Baie-Comeau. The Company also had operations in Washington State that were powered by the Grant County Power Utility District as well as operations in Paraguay that were powered by Compañía de Luz y Fuerza S.A (“CLYFSA”). In Q3 2022, the Company began operations in Argentina. The production facility in Argentina was temporarily connected to the power grid until the private power producer obtained the requisite permits to provide power directly to the Company in April 2023. Energy rates in Argentina increase during winter months of May through September, after which they return to their regular rates. Among other phenomena, changing weather in Quebec, Washington State, Paraguay or Argentina may impact seasonal electricity needs, and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Q4 2023 details, refer to Section 8A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7</w:t>
      </w:r>
    </w:p>
    <w:p>
      <w:pPr>
        <w:spacing w:after="0" w:line="29" w:lineRule="exact"/>
        <w:rPr>
          <w:sz w:val="20"/>
          <w:szCs w:val="20"/>
          <w:color w:val="auto"/>
        </w:rPr>
      </w:pPr>
    </w:p>
    <w:p>
      <w:pPr>
        <w:ind w:left="120" w:hanging="112"/>
        <w:spacing w:after="0"/>
        <w:tabs>
          <w:tab w:leader="none" w:pos="1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Washington Expansion, Paraguay Expansion, Argentina Expansion and Baie-Comeau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5" w:lineRule="exact"/>
        <w:rPr>
          <w:sz w:val="20"/>
          <w:szCs w:val="20"/>
          <w:color w:val="auto"/>
        </w:rPr>
      </w:pPr>
    </w:p>
    <w:p>
      <w:pPr>
        <w:ind w:left="380" w:right="60" w:hanging="372"/>
        <w:spacing w:after="0" w:line="196" w:lineRule="auto"/>
        <w:tabs>
          <w:tab w:leader="none" w:pos="380" w:val="left"/>
        </w:tabs>
        <w:numPr>
          <w:ilvl w:val="0"/>
          <w:numId w:val="20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77"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700" w:firstLine="8"/>
        <w:spacing w:after="0" w:line="503" w:lineRule="auto"/>
        <w:tabs>
          <w:tab w:leader="none" w:pos="27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0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8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 and</w:t>
            </w:r>
          </w:p>
        </w:tc>
      </w:tr>
      <w:tr>
        <w:trPr>
          <w:trHeight w:val="220"/>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360" w:type="dxa"/>
            <w:vAlign w:val="bottom"/>
          </w:tcPr>
          <w:p>
            <w:pPr>
              <w:spacing w:after="0"/>
              <w:rPr>
                <w:sz w:val="19"/>
                <w:szCs w:val="19"/>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infrastructure costs. Power costs are the largest variable expense in</w:t>
            </w:r>
          </w:p>
        </w:tc>
      </w:tr>
      <w:tr>
        <w:trPr>
          <w:trHeight w:val="216"/>
        </w:trPr>
        <w:tc>
          <w:tcPr>
            <w:tcW w:w="13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electrical  components  and  other</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and (iv) electrician salaries and payroll</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34"/>
        </w:trPr>
        <w:tc>
          <w:tcPr>
            <w:tcW w:w="13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jc w:val="both"/>
        <w:ind w:left="1520" w:hanging="1459"/>
        <w:spacing w:after="0" w:line="266"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Net income (loss) adjusted to exclude: (i) interest expense; (ii) income tax expense; and (iii) depreciation and amortization.</w:t>
      </w:r>
    </w:p>
    <w:p>
      <w:pPr>
        <w:spacing w:after="0" w:line="20" w:lineRule="exact"/>
        <w:rPr>
          <w:sz w:val="20"/>
          <w:szCs w:val="20"/>
          <w:color w:val="auto"/>
        </w:rPr>
      </w:pPr>
      <w:r>
        <w:rPr>
          <w:sz w:val="20"/>
          <w:szCs w:val="20"/>
          <w:color w:val="auto"/>
        </w:rPr>
        <w:br w:type="column"/>
      </w:r>
    </w:p>
    <w:p>
      <w:pPr>
        <w:jc w:val="both"/>
        <w:ind w:left="323" w:right="60" w:hanging="323"/>
        <w:spacing w:after="0" w:line="257" w:lineRule="auto"/>
        <w:tabs>
          <w:tab w:leader="none" w:pos="38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3" w:right="60" w:hanging="323"/>
        <w:spacing w:after="0" w:line="250" w:lineRule="auto"/>
        <w:tabs>
          <w:tab w:leader="none" w:pos="34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with additional information to assist them in understanding components of its financial results, including a more complete understanding of factors and trends affecting the Company’s performance.</w:t>
      </w:r>
    </w:p>
    <w:p>
      <w:pPr>
        <w:spacing w:after="0" w:line="1" w:lineRule="exact"/>
        <w:rPr>
          <w:rFonts w:ascii="Times New Roman" w:cs="Times New Roman" w:eastAsia="Times New Roman" w:hAnsi="Times New Roman"/>
          <w:sz w:val="18"/>
          <w:szCs w:val="18"/>
          <w:color w:val="auto"/>
        </w:rPr>
      </w:pPr>
    </w:p>
    <w:p>
      <w:pPr>
        <w:jc w:val="both"/>
        <w:ind w:left="323" w:right="40" w:hanging="323"/>
        <w:spacing w:after="0" w:line="255" w:lineRule="auto"/>
        <w:tabs>
          <w:tab w:leader="none" w:pos="35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4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4300" w:type="dxa"/>
            <w:vAlign w:val="bottom"/>
            <w:tcBorders>
              <w:top w:val="single" w:sz="8" w:color="auto"/>
            </w:tcBorders>
          </w:tcPr>
          <w:p>
            <w:pPr>
              <w:ind w:left="380"/>
              <w:spacing w:after="0" w:line="189" w:lineRule="exact"/>
              <w:rPr>
                <w:sz w:val="20"/>
                <w:szCs w:val="20"/>
                <w:color w:val="auto"/>
              </w:rPr>
            </w:pPr>
            <w:r>
              <w:rPr>
                <w:rFonts w:ascii="Times New Roman" w:cs="Times New Roman" w:eastAsia="Times New Roman" w:hAnsi="Times New Roman"/>
                <w:sz w:val="18"/>
                <w:szCs w:val="18"/>
                <w:color w:val="auto"/>
              </w:rPr>
              <w:t>EBITDA  adjusted  to  exclude:  (i)  share-based</w:t>
            </w:r>
          </w:p>
        </w:tc>
        <w:tc>
          <w:tcPr>
            <w:tcW w:w="320" w:type="dxa"/>
            <w:vAlign w:val="bottom"/>
            <w:tcBorders>
              <w:top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Borders>
              <w:top w:val="single" w:sz="8" w:color="auto"/>
            </w:tcBorders>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To assess profitability before the impact of all of the items in calculating</w:t>
            </w:r>
          </w:p>
        </w:tc>
      </w:tr>
      <w:tr>
        <w:trPr>
          <w:trHeight w:val="220"/>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(ii) non-cash finance expenses; (iii) asset</w:t>
            </w:r>
          </w:p>
        </w:tc>
        <w:tc>
          <w:tcPr>
            <w:tcW w:w="320" w:type="dxa"/>
            <w:vAlign w:val="bottom"/>
          </w:tcPr>
          <w:p>
            <w:pPr>
              <w:spacing w:after="0"/>
              <w:rPr>
                <w:sz w:val="19"/>
                <w:szCs w:val="19"/>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EBITDA in addition to certain other non-cash expenses.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charges; (iv) realized gains or losses on</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provide the users of the MD&amp;A a consistent comparable metric for</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  of  digital  assets  and  (reversal  of)</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profitability of the Company’s core performance across time periods.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revaluation  loss  on  digital  assets;  (v)  gain  on</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Used by Management to facilitate comparisons of operating performance</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 of marketable securities, gains or losses</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period to period and to prepare annual operating budgets and</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derivative  assets  and  liabilities  and  discount</w:t>
            </w:r>
          </w:p>
        </w:tc>
        <w:tc>
          <w:tcPr>
            <w:tcW w:w="32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forecasts.</w:t>
            </w: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 on VAT receivable; (vi) loss (gain) on</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revaluation of warrants and warrant issuance costs;</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(vii) loss on currency exchange; and (viii) other non-</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recurring  items  that  do  not  reflect  the  core</w:t>
            </w: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41"/>
        </w:trPr>
        <w:tc>
          <w:tcPr>
            <w:tcW w:w="1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32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40" w:type="dxa"/>
            <w:vAlign w:val="bottom"/>
            <w:tcBorders>
              <w:right w:val="single" w:sz="8" w:color="auto"/>
            </w:tcBorders>
          </w:tcPr>
          <w:p>
            <w:pPr>
              <w:ind w:left="480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1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8"/>
        </w:trPr>
        <w:tc>
          <w:tcPr>
            <w:tcW w:w="12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1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Cost  of  revenues  adjusted  to  exclude:  (i)</w:t>
            </w:r>
          </w:p>
        </w:tc>
        <w:tc>
          <w:tcPr>
            <w:tcW w:w="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  (ii)  purchases  of</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electrical components; (iii) electrician salaries and</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a metric to evaluate the Company’s</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payroll taxes; (iv) infrastructure; and (v) other direct</w:t>
            </w:r>
          </w:p>
        </w:tc>
        <w:tc>
          <w:tcPr>
            <w:tcW w:w="360" w:type="dxa"/>
            <w:vAlign w:val="bottom"/>
          </w:tcPr>
          <w:p>
            <w:pPr>
              <w:spacing w:after="0"/>
              <w:rPr>
                <w:sz w:val="18"/>
                <w:szCs w:val="18"/>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 time</w:t>
            </w:r>
          </w:p>
        </w:tc>
      </w:tr>
      <w:tr>
        <w:trPr>
          <w:trHeight w:val="216"/>
        </w:trPr>
        <w:tc>
          <w:tcPr>
            <w:tcW w:w="1220" w:type="dxa"/>
            <w:vAlign w:val="bottom"/>
          </w:tcPr>
          <w:p>
            <w:pPr>
              <w:spacing w:after="0"/>
              <w:rPr>
                <w:sz w:val="18"/>
                <w:szCs w:val="18"/>
                <w:color w:val="auto"/>
              </w:rPr>
            </w:pPr>
          </w:p>
        </w:tc>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2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2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jc w:val="both"/>
        <w:ind w:left="1520" w:hanging="1471"/>
        <w:spacing w:after="0" w:line="256"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Net (income) loss before income taxes before: (i) revenues; (ii) depreciation and amortization; (iii) purchases of electrical components; (iv) electrician salaries and payroll taxes; (v) share-based payment;</w:t>
      </w:r>
    </w:p>
    <w:p>
      <w:pPr>
        <w:spacing w:after="0" w:line="3" w:lineRule="exact"/>
        <w:rPr>
          <w:sz w:val="20"/>
          <w:szCs w:val="20"/>
          <w:color w:val="auto"/>
        </w:rPr>
      </w:pPr>
    </w:p>
    <w:p>
      <w:pPr>
        <w:jc w:val="both"/>
        <w:ind w:left="1520" w:firstLine="7"/>
        <w:spacing w:after="0" w:line="252" w:lineRule="auto"/>
        <w:tabs>
          <w:tab w:leader="none" w:pos="183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or losses on disposition of digital assets; (vii) (reversal of) revaluation loss on digital assets; (viii) asset impairment charges; (ix) net financial income; (x) other direct expenses; and (xi) other non-recurring items that do not reflect the core performance of the Company.</w:t>
      </w:r>
    </w:p>
    <w:p>
      <w:pPr>
        <w:spacing w:after="0" w:line="20" w:lineRule="exact"/>
        <w:rPr>
          <w:sz w:val="20"/>
          <w:szCs w:val="20"/>
          <w:color w:val="auto"/>
        </w:rPr>
      </w:pPr>
      <w:r>
        <w:rPr>
          <w:sz w:val="20"/>
          <w:szCs w:val="20"/>
          <w:color w:val="auto"/>
        </w:rPr>
        <w:br w:type="column"/>
      </w:r>
    </w:p>
    <w:p>
      <w:pPr>
        <w:ind w:left="323" w:right="40" w:hanging="323"/>
        <w:spacing w:after="0" w:line="261" w:lineRule="auto"/>
        <w:tabs>
          <w:tab w:leader="none" w:pos="34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3" w:right="60" w:hanging="323"/>
        <w:spacing w:after="0" w:line="250" w:lineRule="auto"/>
        <w:tabs>
          <w:tab w:leader="none" w:pos="29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3" w:right="60" w:hanging="323"/>
        <w:spacing w:after="0" w:line="260" w:lineRule="auto"/>
        <w:tabs>
          <w:tab w:leader="none" w:pos="31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538480</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829945</wp:posOffset>
            </wp:positionV>
            <wp:extent cx="7132320" cy="1714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55"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28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35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3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3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The  percentage  obtained  when  dividing</w:t>
            </w:r>
          </w:p>
        </w:tc>
        <w:tc>
          <w:tcPr>
            <w:tcW w:w="63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Gross  ●  To assess profitability after power costs in cryptocurrency production, the</w:t>
            </w:r>
          </w:p>
        </w:tc>
      </w:tr>
      <w:tr>
        <w:trPr>
          <w:trHeight w:val="220"/>
        </w:trPr>
        <w:tc>
          <w:tcPr>
            <w:tcW w:w="1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Mining profit by Mining related revenues.</w:t>
            </w: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largest variable expense in Mining.</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 of</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Company’s  core  digital  asset  Mining  operations,  exclusive  of</w:t>
            </w:r>
          </w:p>
        </w:tc>
      </w:tr>
      <w:tr>
        <w:trPr>
          <w:trHeight w:val="216"/>
        </w:trPr>
        <w:tc>
          <w:tcPr>
            <w:tcW w:w="13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3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3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5" w:lineRule="exact"/>
        <w:rPr>
          <w:sz w:val="20"/>
          <w:szCs w:val="20"/>
          <w:color w:val="auto"/>
        </w:rPr>
      </w:pPr>
    </w:p>
    <w:p>
      <w:pPr>
        <w:ind w:left="1520" w:hanging="1471"/>
        <w:spacing w:after="0" w:line="282"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EBITDA margin</w:t>
      </w:r>
      <w:r>
        <w:rPr>
          <w:sz w:val="20"/>
          <w:szCs w:val="20"/>
          <w:color w:val="auto"/>
        </w:rPr>
        <w:tab/>
      </w:r>
      <w:r>
        <w:rPr>
          <w:rFonts w:ascii="Times New Roman" w:cs="Times New Roman" w:eastAsia="Times New Roman" w:hAnsi="Times New Roman"/>
          <w:sz w:val="18"/>
          <w:szCs w:val="18"/>
          <w:color w:val="auto"/>
        </w:rPr>
        <w:t>The percentage obtained when dividing EBITDA by Revenues.</w:t>
      </w:r>
    </w:p>
    <w:p>
      <w:pPr>
        <w:spacing w:after="0" w:line="20" w:lineRule="exact"/>
        <w:rPr>
          <w:sz w:val="20"/>
          <w:szCs w:val="20"/>
          <w:color w:val="auto"/>
        </w:rPr>
      </w:pPr>
      <w:r>
        <w:rPr>
          <w:sz w:val="20"/>
          <w:szCs w:val="20"/>
          <w:color w:val="auto"/>
        </w:rPr>
        <w:br w:type="column"/>
      </w:r>
    </w:p>
    <w:p>
      <w:pPr>
        <w:jc w:val="both"/>
        <w:ind w:left="323" w:right="60" w:hanging="323"/>
        <w:spacing w:after="0" w:line="257" w:lineRule="auto"/>
        <w:tabs>
          <w:tab w:leader="none" w:pos="35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3" w:right="40" w:hanging="323"/>
        <w:spacing w:after="0" w:line="250" w:lineRule="auto"/>
        <w:tabs>
          <w:tab w:leader="none" w:pos="32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323" w:right="60" w:hanging="323"/>
        <w:spacing w:after="0" w:line="251" w:lineRule="auto"/>
        <w:tabs>
          <w:tab w:leader="none" w:pos="34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its financial results, including a more complete understanding of factors and trends affecting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-635</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ind w:lef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w:t>
      </w:r>
      <w:r>
        <w:rPr>
          <w:rFonts w:ascii="Times New Roman" w:cs="Times New Roman" w:eastAsia="Times New Roman" w:hAnsi="Times New Roman"/>
          <w:sz w:val="18"/>
          <w:szCs w:val="18"/>
          <w:color w:val="auto"/>
        </w:rPr>
        <w:t>The percentage obtained when dividing Adjusted</w:t>
      </w:r>
      <w:r>
        <w:rPr>
          <w:rFonts w:ascii="Times New Roman" w:cs="Times New Roman" w:eastAsia="Times New Roman" w:hAnsi="Times New Roman"/>
          <w:sz w:val="18"/>
          <w:szCs w:val="18"/>
          <w:b w:val="1"/>
          <w:bCs w:val="1"/>
          <w:color w:val="auto"/>
        </w:rPr>
        <w:t xml:space="preserve"> EBITDA margin </w:t>
      </w:r>
      <w:r>
        <w:rPr>
          <w:rFonts w:ascii="Times New Roman" w:cs="Times New Roman" w:eastAsia="Times New Roman" w:hAnsi="Times New Roman"/>
          <w:sz w:val="18"/>
          <w:szCs w:val="18"/>
          <w:color w:val="auto"/>
        </w:rPr>
        <w:t>EBITDA by Revenues.</w:t>
      </w:r>
    </w:p>
    <w:p>
      <w:pPr>
        <w:spacing w:after="0" w:line="20" w:lineRule="exact"/>
        <w:rPr>
          <w:sz w:val="20"/>
          <w:szCs w:val="20"/>
          <w:color w:val="auto"/>
        </w:rPr>
      </w:pPr>
      <w:r>
        <w:rPr>
          <w:sz w:val="20"/>
          <w:szCs w:val="20"/>
          <w:color w:val="auto"/>
        </w:rPr>
        <w:br w:type="column"/>
      </w:r>
    </w:p>
    <w:p>
      <w:pPr>
        <w:ind w:left="323" w:right="60" w:hanging="323"/>
        <w:spacing w:after="0" w:line="261" w:lineRule="auto"/>
        <w:tabs>
          <w:tab w:leader="none" w:pos="33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3" w:right="60" w:hanging="323"/>
        <w:spacing w:after="0" w:line="250" w:lineRule="auto"/>
        <w:tabs>
          <w:tab w:leader="none" w:pos="52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consistent comparable metric for profitability of the Company’s core performance across time periods.</w:t>
      </w:r>
    </w:p>
    <w:p>
      <w:pPr>
        <w:jc w:val="both"/>
        <w:ind w:left="323" w:right="40" w:hanging="323"/>
        <w:spacing w:after="0" w:line="255" w:lineRule="auto"/>
        <w:tabs>
          <w:tab w:leader="none" w:pos="32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-6985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283845</wp:posOffset>
            </wp:positionV>
            <wp:extent cx="7132320" cy="1714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283"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0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4"/>
        </w:trPr>
        <w:tc>
          <w:tcPr>
            <w:tcW w:w="13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0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amount obtained when dividing Direct Cost by</w:t>
            </w:r>
          </w:p>
        </w:tc>
        <w:tc>
          <w:tcPr>
            <w:tcW w:w="3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38"/>
        </w:trPr>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BTC</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36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w:t>
            </w:r>
          </w:p>
        </w:tc>
      </w:tr>
    </w:tbl>
    <w:p>
      <w:pPr>
        <w:jc w:val="both"/>
        <w:ind w:left="5860" w:right="60" w:hanging="323"/>
        <w:spacing w:after="0" w:line="250" w:lineRule="auto"/>
        <w:tabs>
          <w:tab w:leader="none" w:pos="5840" w:val="left"/>
        </w:tabs>
        <w:rPr>
          <w:sz w:val="20"/>
          <w:szCs w:val="20"/>
          <w:color w:val="auto"/>
        </w:rPr>
      </w:pPr>
      <w:r>
        <w:rPr>
          <w:rFonts w:ascii="Times New Roman" w:cs="Times New Roman" w:eastAsia="Times New Roman" w:hAnsi="Times New Roman"/>
          <w:sz w:val="18"/>
          <w:szCs w:val="18"/>
          <w:color w:val="auto"/>
        </w:rPr>
        <w:t>●</w:t>
        <w:tab/>
        <w:t>To provide the users of the MD&amp;A a metric to evaluate the Company’s direct variable cost for its core digital asset Mining operations across time periods.</w:t>
      </w:r>
    </w:p>
    <w:p>
      <w:pPr>
        <w:spacing w:after="0" w:line="1" w:lineRule="exact"/>
        <w:rPr>
          <w:sz w:val="20"/>
          <w:szCs w:val="20"/>
          <w:color w:val="auto"/>
        </w:rPr>
      </w:pPr>
    </w:p>
    <w:p>
      <w:pPr>
        <w:jc w:val="both"/>
        <w:ind w:left="5840" w:right="60" w:hanging="323"/>
        <w:spacing w:after="0" w:line="253" w:lineRule="auto"/>
        <w:tabs>
          <w:tab w:leader="none" w:pos="5820" w:val="left"/>
        </w:tabs>
        <w:rPr>
          <w:sz w:val="20"/>
          <w:szCs w:val="20"/>
          <w:color w:val="auto"/>
        </w:rPr>
      </w:pPr>
      <w:r>
        <w:rPr>
          <w:rFonts w:ascii="Times New Roman" w:cs="Times New Roman" w:eastAsia="Times New Roman" w:hAnsi="Times New Roman"/>
          <w:sz w:val="18"/>
          <w:szCs w:val="18"/>
          <w:color w:val="auto"/>
        </w:rPr>
        <w:t>●</w:t>
        <w:tab/>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The amount obtained when dividing Total Cash cost</w:t>
      </w:r>
    </w:p>
    <w:p>
      <w:pPr>
        <w:spacing w:after="0" w:line="31" w:lineRule="exact"/>
        <w:rPr>
          <w:sz w:val="20"/>
          <w:szCs w:val="20"/>
          <w:color w:val="auto"/>
        </w:rPr>
      </w:pP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per BTC</w:t>
      </w:r>
      <w:r>
        <w:rPr>
          <w:sz w:val="20"/>
          <w:szCs w:val="20"/>
          <w:color w:val="auto"/>
        </w:rPr>
        <w:tab/>
      </w:r>
      <w:r>
        <w:rPr>
          <w:rFonts w:ascii="Times New Roman" w:cs="Times New Roman" w:eastAsia="Times New Roman" w:hAnsi="Times New Roman"/>
          <w:sz w:val="17"/>
          <w:szCs w:val="17"/>
          <w:color w:val="auto"/>
        </w:rPr>
        <w:t>by the quantity of BTC earned.</w:t>
      </w:r>
    </w:p>
    <w:p>
      <w:pPr>
        <w:spacing w:after="0" w:line="20" w:lineRule="exact"/>
        <w:rPr>
          <w:sz w:val="20"/>
          <w:szCs w:val="20"/>
          <w:color w:val="auto"/>
        </w:rPr>
      </w:pPr>
      <w:r>
        <w:rPr>
          <w:sz w:val="20"/>
          <w:szCs w:val="20"/>
          <w:color w:val="auto"/>
        </w:rPr>
        <w:br w:type="column"/>
      </w:r>
    </w:p>
    <w:p>
      <w:pPr>
        <w:ind w:left="323" w:right="40" w:hanging="323"/>
        <w:spacing w:after="0" w:line="261" w:lineRule="auto"/>
        <w:tabs>
          <w:tab w:leader="none" w:pos="34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3" w:right="60" w:hanging="323"/>
        <w:spacing w:after="0" w:line="250" w:lineRule="auto"/>
        <w:tabs>
          <w:tab w:leader="none" w:pos="2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3" w:right="60" w:hanging="323"/>
        <w:spacing w:after="0" w:line="260" w:lineRule="auto"/>
        <w:tabs>
          <w:tab w:leader="none" w:pos="31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-9525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177"/>
            <w:col w:w="5703"/>
          </w:cols>
          <w:pgMar w:left="320" w:top="266"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0" w:type="dxa"/>
            <w:vAlign w:val="bottom"/>
          </w:tcPr>
          <w:p>
            <w:pPr>
              <w:spacing w:after="0"/>
              <w:rPr>
                <w:sz w:val="21"/>
                <w:szCs w:val="21"/>
                <w:color w:val="auto"/>
              </w:rPr>
            </w:pPr>
          </w:p>
        </w:tc>
      </w:tr>
      <w:tr>
        <w:trPr>
          <w:trHeight w:val="198"/>
        </w:trPr>
        <w:tc>
          <w:tcPr>
            <w:tcW w:w="13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The percentage obtained when dividing Gross profit</w:t>
            </w:r>
          </w:p>
        </w:tc>
        <w:tc>
          <w:tcPr>
            <w:tcW w:w="58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  To assess profitability of the Company across time periods.</w:t>
            </w:r>
          </w:p>
        </w:tc>
        <w:tc>
          <w:tcPr>
            <w:tcW w:w="20" w:type="dxa"/>
            <w:vAlign w:val="bottom"/>
          </w:tcPr>
          <w:p>
            <w:pPr>
              <w:spacing w:after="0"/>
              <w:rPr>
                <w:sz w:val="17"/>
                <w:szCs w:val="17"/>
                <w:color w:val="auto"/>
              </w:rPr>
            </w:pPr>
          </w:p>
        </w:tc>
      </w:tr>
      <w:tr>
        <w:trPr>
          <w:trHeight w:val="241"/>
        </w:trPr>
        <w:tc>
          <w:tcPr>
            <w:tcW w:w="13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by Revenues.</w:t>
            </w:r>
          </w:p>
        </w:tc>
        <w:tc>
          <w:tcPr>
            <w:tcW w:w="5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4"/>
        </w:trPr>
        <w:tc>
          <w:tcPr>
            <w:tcW w:w="13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40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The percentage obtained when dividing Operating</w:t>
            </w:r>
          </w:p>
        </w:tc>
        <w:tc>
          <w:tcPr>
            <w:tcW w:w="584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  To assess operational profitability of the Company across time periods.</w:t>
            </w:r>
          </w:p>
        </w:tc>
        <w:tc>
          <w:tcPr>
            <w:tcW w:w="20" w:type="dxa"/>
            <w:vAlign w:val="bottom"/>
          </w:tcPr>
          <w:p>
            <w:pPr>
              <w:spacing w:after="0"/>
              <w:rPr>
                <w:sz w:val="16"/>
                <w:szCs w:val="16"/>
                <w:color w:val="auto"/>
              </w:rPr>
            </w:pPr>
          </w:p>
        </w:tc>
      </w:tr>
      <w:tr>
        <w:trPr>
          <w:trHeight w:val="245"/>
        </w:trPr>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4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(loss) by Revenues.</w:t>
            </w:r>
          </w:p>
        </w:tc>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439"/>
        </w:trPr>
        <w:tc>
          <w:tcPr>
            <w:tcW w:w="13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5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Page</w:t>
            </w:r>
          </w:p>
        </w:tc>
      </w:tr>
    </w:tbl>
    <w:p>
      <w:pPr>
        <w:sectPr>
          <w:pgSz w:w="11900" w:h="16838" w:orient="portrait"/>
          <w:cols w:equalWidth="0" w:num="1">
            <w:col w:w="11240"/>
          </w:cols>
          <w:pgMar w:left="320" w:top="266" w:right="339" w:bottom="144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500" w:hanging="492"/>
        <w:spacing w:after="0"/>
        <w:tabs>
          <w:tab w:leader="none" w:pos="50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0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29"/>
                <w:szCs w:val="29"/>
                <w:color w:val="auto"/>
                <w:vertAlign w:val="superscript"/>
              </w:rPr>
              <w:t>(1)</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27,037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19,204</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142,428</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(57,537)</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(12,893)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(44,644)</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(193,056)</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income</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3,071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2,659</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20,777</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72,420</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(35,656)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(16,993)</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(106,871)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89,878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3,906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3,795</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21,788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 disposition of</w:t>
            </w:r>
          </w:p>
        </w:tc>
        <w:tc>
          <w:tcPr>
            <w:tcW w:w="122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28,567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150,810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(reversal) on short-</w:t>
            </w: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term prepaid deposits, equipment</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and construction prepayments,</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and</w:t>
            </w: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2,270</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(8,903)</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vMerge w:val="continue"/>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75,213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22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(1,183)</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(23,284)</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22,101</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(2,166)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w:t>
            </w:r>
          </w:p>
        </w:tc>
        <w:tc>
          <w:tcPr>
            <w:tcW w:w="122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(12,835)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debt and lease liabilities</w:t>
            </w:r>
          </w:p>
        </w:tc>
        <w:tc>
          <w:tcPr>
            <w:tcW w:w="12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(gain) on revaluation of</w:t>
            </w:r>
          </w:p>
        </w:tc>
        <w:tc>
          <w:tcPr>
            <w:tcW w:w="12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37,874</w:t>
            </w: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38,088</w:t>
            </w: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2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(3,759)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41,633</w:t>
            </w:r>
          </w:p>
        </w:tc>
        <w:tc>
          <w:tcPr>
            <w:tcW w:w="11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(63,406)</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101,494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22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(999)</w:t>
            </w:r>
          </w:p>
        </w:tc>
        <w:tc>
          <w:tcPr>
            <w:tcW w:w="1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(12,245)</w:t>
            </w:r>
          </w:p>
        </w:tc>
        <w:tc>
          <w:tcPr>
            <w:tcW w:w="1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2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(7,317)</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6,318</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20" w:type="dxa"/>
            <w:vAlign w:val="bottom"/>
            <w:vMerge w:val="continue"/>
            <w:shd w:val="clear" w:color="auto" w:fill="CCEEFF"/>
          </w:tcPr>
          <w:p>
            <w:pPr>
              <w:spacing w:after="0"/>
              <w:rPr>
                <w:sz w:val="20"/>
                <w:szCs w:val="20"/>
                <w:color w:val="auto"/>
              </w:rPr>
            </w:pP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(51,649)</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39,404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7,836</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1,928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5,908</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18,598</w:t>
            </w: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13,067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14,048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12,066</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35,085</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54,686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2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0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Change  % Change</w:t>
            </w:r>
          </w:p>
        </w:tc>
        <w:tc>
          <w:tcPr>
            <w:tcW w:w="10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1,757</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(12,084)</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13,841</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(21,502)</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(1,285)</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(1,101)</w:t>
            </w: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(5,060)</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20,777</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1,013</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72,420</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of electrical components and</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754</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2,590</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vMerge w:val="continue"/>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510</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244</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vMerge w:val="continue"/>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1,773</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0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341</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392</w:t>
            </w:r>
          </w:p>
        </w:tc>
        <w:tc>
          <w:tcPr>
            <w:tcW w:w="10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1,561</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23,357</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8,494</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14,863</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62,374</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82,584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6"/>
              </w:rPr>
              <w:t>% Change</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19,204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142,428</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w:t>
            </w: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of calculating gross Mining margin:</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Mining revenues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(44,956)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(19,020)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(141,306)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5,060</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3,443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r>
      <w:tr>
        <w:trPr>
          <w:trHeight w:val="237"/>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36"/>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44,484</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39,121</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167,868</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131,910</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35,958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(84,785)</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(2,580)</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(1,561)</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(1,607)</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(3,909)</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(4,871)</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19,996</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15,757</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75,115</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51,462</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23,653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4,928</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5,167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16,200</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11,000</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5,200</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15,200</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94"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jc w:val="right"/>
              <w:ind w:right="10"/>
              <w:spacing w:after="0" w:line="230" w:lineRule="exact"/>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26"/>
                <w:szCs w:val="26"/>
                <w:color w:val="auto"/>
                <w:vertAlign w:val="superscript"/>
              </w:rPr>
              <w:t>(1)</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10"/>
              <w:spacing w:after="0" w:line="230" w:lineRule="exact"/>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26"/>
                <w:szCs w:val="26"/>
                <w:color w:val="auto"/>
                <w:vertAlign w:val="superscript"/>
              </w:rPr>
              <w:t>(1)</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57,537</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12,893</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44,644</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104,437</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193,056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46,241</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27,037</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19,204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146,366</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142,428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(21,790)</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(20,777)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(84,785)</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(72,420)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(750)</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(341)</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(392)</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(3,906)</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(3,795)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(10,915)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(21,788)</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(28,567)</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28,567</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(150,810)</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1,183</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23,284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2,166</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gain on disposition of property, plant</w:t>
            </w: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9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1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9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vMerge w:val="continue"/>
            <w:shd w:val="clear" w:color="auto" w:fill="CCEEFF"/>
          </w:tcPr>
          <w:p>
            <w:pPr>
              <w:spacing w:after="0"/>
              <w:rPr>
                <w:sz w:val="20"/>
                <w:szCs w:val="20"/>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(charge) reversal on short-term</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prepaid deposits, equipment and</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prepayments, property, plant</w:t>
            </w: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(2,270)</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(12,252)</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 and right-of-use assets</w:t>
            </w:r>
          </w:p>
        </w:tc>
        <w:tc>
          <w:tcPr>
            <w:tcW w:w="940" w:type="dxa"/>
            <w:vAlign w:val="bottom"/>
            <w:vMerge w:val="continue"/>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8,903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800" w:type="dxa"/>
            <w:vAlign w:val="bottom"/>
            <w:vMerge w:val="continue"/>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(75,213)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(17,900)</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(44,800)</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(32,308)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90,966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(2,124)</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2,124</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(1,548)</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31,102</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23,498</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107,222</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84,585</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1,236</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4,928</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25,200</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16,400</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8,800</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21,800</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16,400</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2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the Company’s current financing strategy involves (a) selling the BTC it earns and the BTC it holds in treasury and (b) utilizing short-term debt, long-term debt and equity instruments to fund its expansion activities, operating expenses and debt service requirements. The Company anticipates requiring additional funds to complete its growth plans discussed in Section 7 - Expansion Projects of this MD&amp;A.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for which the implications for economic and monetary policy, and its impact on Bitfarms, cannot be ascertained as of the issuance date of this MD&amp;A.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Mining services for a market-based fee to its Canadian parent which owns and records revenue from the BTC earned in Argentina and, accordingly, the Argentinian subsidiary is not structured or contemplated to generate substantial cash flows above its internal requirements. The Argentinian subsidiary earns a market-based return on the services it provides to its Canadian parent.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79"/>
        </w:trPr>
        <w:tc>
          <w:tcPr>
            <w:tcW w:w="4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37"/>
        </w:trPr>
        <w:tc>
          <w:tcPr>
            <w:tcW w:w="5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36"/>
        </w:trPr>
        <w:tc>
          <w:tcPr>
            <w:tcW w:w="5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30,887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125,595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(94,708)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23,598</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36,250</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(12,652)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(58,343)</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(155,011)</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96,668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87,878</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24,010</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63,868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6"/>
        </w:trPr>
        <w:tc>
          <w:tcPr>
            <w:tcW w:w="5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7"/>
        </w:trPr>
        <w:tc>
          <w:tcPr>
            <w:tcW w:w="5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2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30,887</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53,151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decreased by $12.7 million during FY 2023 compared to FY 2022, primarily driven by:</w:t>
      </w:r>
    </w:p>
    <w:p>
      <w:pPr>
        <w:spacing w:after="0" w:line="9"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proceeds from sale of digital assets earned of $29.4 million as a result of selling less BTC in FY 2023 compared to FY 2022;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energy and infrastructure costs of $22.4 million as explained in Section 8B - </w:t>
      </w:r>
      <w:r>
        <w:rPr>
          <w:rFonts w:ascii="Times New Roman" w:cs="Times New Roman" w:eastAsia="Times New Roman" w:hAnsi="Times New Roman"/>
          <w:sz w:val="18"/>
          <w:szCs w:val="18"/>
          <w:i w:val="1"/>
          <w:iCs w:val="1"/>
          <w:color w:val="auto"/>
        </w:rPr>
        <w:t>Financial Performance - Cost of Revenues</w:t>
      </w:r>
      <w:r>
        <w:rPr>
          <w:rFonts w:ascii="Times New Roman" w:cs="Times New Roman" w:eastAsia="Times New Roman" w:hAnsi="Times New Roman"/>
          <w:sz w:val="18"/>
          <w:szCs w:val="18"/>
          <w:color w:val="auto"/>
        </w:rPr>
        <w:t xml:space="preserve"> of this MD&amp;A.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income taxes paid, with $15.0 million paid during FY 2022, compared to $11.6 million refunded during FY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and financial expenses paid of $5.6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favorable working capital variances totaling $5.2 million that are explained in Section 12 - </w:t>
      </w:r>
      <w:r>
        <w:rPr>
          <w:rFonts w:ascii="Times New Roman" w:cs="Times New Roman" w:eastAsia="Times New Roman" w:hAnsi="Times New Roman"/>
          <w:sz w:val="18"/>
          <w:szCs w:val="18"/>
          <w:i w:val="1"/>
          <w:iCs w:val="1"/>
          <w:color w:val="auto"/>
        </w:rPr>
        <w:t>Financial Position</w:t>
      </w:r>
      <w:r>
        <w:rPr>
          <w:rFonts w:ascii="Times New Roman" w:cs="Times New Roman" w:eastAsia="Times New Roman" w:hAnsi="Times New Roman"/>
          <w:sz w:val="18"/>
          <w:szCs w:val="18"/>
          <w:color w:val="auto"/>
        </w:rPr>
        <w:t xml:space="preserve"> of this MD&amp;A;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cash G&amp;A expenses of $1.3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decreased by $96.7 million during FY 2023 compared to FY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 million of net additions of property, plant and equipment (“PPE”) during FY 2023, compared to $142.6 million for the same period in 2022, primarily due to the acquisition of Miners and infrastructure build-out;</w:t>
      </w:r>
    </w:p>
    <w:p>
      <w:pPr>
        <w:ind w:left="660" w:hanging="328"/>
        <w:spacing w:after="0" w:line="250"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 million in advance payments mainly for the Paraguay expansions during FY 2023, compared to $41.8 million in advanced payments made on new PPE mainly for the Argentina expansion during FY 2022; and</w:t>
      </w:r>
    </w:p>
    <w:p>
      <w:pPr>
        <w:ind w:left="660" w:hanging="328"/>
        <w:spacing w:after="0" w:line="260"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1,000 BTC for $43.2 million during FY 2022, compared to nil in FY 2023. Refer to Section 11B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(capital resources - digital asset management program) </w:t>
      </w:r>
      <w:r>
        <w:rPr>
          <w:rFonts w:ascii="Times New Roman" w:cs="Times New Roman" w:eastAsia="Times New Roman" w:hAnsi="Times New Roman"/>
          <w:sz w:val="18"/>
          <w:szCs w:val="18"/>
          <w:color w:val="auto"/>
        </w:rPr>
        <w:t>of this MD&amp;A.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partially offset by:</w:t>
      </w:r>
    </w:p>
    <w:p>
      <w:pPr>
        <w:spacing w:after="0" w:line="27" w:lineRule="exact"/>
        <w:rPr>
          <w:sz w:val="20"/>
          <w:szCs w:val="20"/>
          <w:color w:val="auto"/>
        </w:rPr>
      </w:pPr>
    </w:p>
    <w:p>
      <w:pPr>
        <w:jc w:val="both"/>
        <w:ind w:left="660" w:hanging="328"/>
        <w:spacing w:after="0" w:line="250"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$12.2 million of net proceeds received in FY 2023 from the purchase and disposition of marketable securities to fund the Argentina expansion activities, compared to $51.6 million of net proceeds for the same period in 2022, as described in Note 28 -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of $21.1 million from the sale of digital assets purchased in FY 2022, compared to nil in FY 2023;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assets in Baie-Comeau, Quebec, and in Paraguay for $2.4 million, as described in Note 5 - </w:t>
      </w:r>
      <w:r>
        <w:rPr>
          <w:rFonts w:ascii="Times New Roman" w:cs="Times New Roman" w:eastAsia="Times New Roman" w:hAnsi="Times New Roman"/>
          <w:sz w:val="18"/>
          <w:szCs w:val="18"/>
          <w:i w:val="1"/>
          <w:iCs w:val="1"/>
          <w:color w:val="auto"/>
        </w:rPr>
        <w:t>Acquisitions of Assets</w:t>
      </w:r>
      <w:r>
        <w:rPr>
          <w:rFonts w:ascii="Times New Roman" w:cs="Times New Roman" w:eastAsia="Times New Roman" w:hAnsi="Times New Roman"/>
          <w:sz w:val="18"/>
          <w:szCs w:val="18"/>
          <w:color w:val="auto"/>
        </w:rPr>
        <w:t xml:space="preserve"> of the Financial Statements, compared to nil in FY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Cash flows from financing activities increased by $63.9 million from $24.0 million for </w:t>
      </w:r>
      <w:r>
        <w:rPr>
          <w:rFonts w:ascii="Times New Roman" w:cs="Times New Roman" w:eastAsia="Times New Roman" w:hAnsi="Times New Roman"/>
          <w:sz w:val="18"/>
          <w:szCs w:val="18"/>
          <w:i w:val="1"/>
          <w:iCs w:val="1"/>
          <w:color w:val="auto"/>
        </w:rPr>
        <w:t>FY</w:t>
      </w:r>
      <w:r>
        <w:rPr>
          <w:rFonts w:ascii="Times New Roman" w:cs="Times New Roman" w:eastAsia="Times New Roman" w:hAnsi="Times New Roman"/>
          <w:sz w:val="18"/>
          <w:szCs w:val="18"/>
          <w:color w:val="auto"/>
        </w:rPr>
        <w:t xml:space="preserve"> 2022 to $87.9 million for </w:t>
      </w:r>
      <w:r>
        <w:rPr>
          <w:rFonts w:ascii="Times New Roman" w:cs="Times New Roman" w:eastAsia="Times New Roman" w:hAnsi="Times New Roman"/>
          <w:sz w:val="18"/>
          <w:szCs w:val="18"/>
          <w:i w:val="1"/>
          <w:iCs w:val="1"/>
          <w:color w:val="auto"/>
        </w:rPr>
        <w:t>FY</w:t>
      </w:r>
      <w:r>
        <w:rPr>
          <w:rFonts w:ascii="Times New Roman" w:cs="Times New Roman" w:eastAsia="Times New Roman" w:hAnsi="Times New Roman"/>
          <w:sz w:val="18"/>
          <w:szCs w:val="18"/>
          <w:color w:val="auto"/>
        </w:rPr>
        <w:t xml:space="preserve">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FY </w:t>
      </w:r>
      <w:r>
        <w:rPr>
          <w:rFonts w:ascii="Times New Roman" w:cs="Times New Roman" w:eastAsia="Times New Roman" w:hAnsi="Times New Roman"/>
          <w:sz w:val="18"/>
          <w:szCs w:val="18"/>
          <w:color w:val="auto"/>
        </w:rPr>
        <w:t>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 $68.5 million of net proceeds from its at-the-market equity offering program, $40.6 million of net proceeds from the private placement completed in November 2023, and $13.0 million of net proceeds from the exercise of stock options and warrants. The amounts raised were partially offset by scheduled and one-time payments relating to long-term debt and lease liabilities of approximately $30.5 million and $3.6 million, respectively.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BlockFi Loan on February 8, 2023 for cash consideration of $7.8 million, as discussed below;</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$22.2 million towards the NYDIG loan that reduced the outstanding balance to $4.0 million as of December 31, 2023; and</w:t>
      </w:r>
    </w:p>
    <w:p>
      <w:pPr>
        <w:ind w:left="1300" w:hanging="320"/>
        <w:spacing w:after="0" w:line="250" w:lineRule="auto"/>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Foundry Loans #2, #3 and #4, as defined in the Financial Statements, before maturity and without prepayment penalty, for $0.8 million.</w:t>
      </w:r>
    </w:p>
    <w:p>
      <w:pPr>
        <w:ind w:left="660" w:hanging="328"/>
        <w:spacing w:after="0"/>
        <w:tabs>
          <w:tab w:leader="none" w:pos="6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repayments included: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modification in February 2023 of its lease agreement with Reliz Ltd. (where BlockFi was the lender to Reliz Ltd.) in order to settle its outstanding lease liability of $0.4 million for a payment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 2022</w:t>
      </w:r>
    </w:p>
    <w:p>
      <w:pPr>
        <w:spacing w:after="0" w:line="29" w:lineRule="exact"/>
        <w:rPr>
          <w:sz w:val="20"/>
          <w:szCs w:val="20"/>
          <w:color w:val="auto"/>
        </w:rPr>
      </w:pPr>
    </w:p>
    <w:p>
      <w:pPr>
        <w:jc w:val="both"/>
        <w:ind w:left="660" w:hanging="328"/>
        <w:spacing w:after="0" w:line="250"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 Company raised $67.2 million of net proceeds from long-term debt, received $40.0 million of proceeds from the credit facility (which was fully repaid in the fourth quarter of 2022), and $54.1 million of net proceeds from the Company’s at-the-market equity offering program;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FY 2022, these proceeds were partially offset by repayments towards the credit facility, long-term debt, and lease liabilities of $100.0 million, $31.2 million and $6.1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which was classified as long-term debt in the statement of financial position. Backbone Mining owns or leases the assets of Bitfarms’ 20-megawatt active crypto Mining facilities in the State of Washington. The BlockFi loan was recourse only against Backbone Mining, and the loan was secured by its Miners and, in the event of default, BTC produced by those Miners.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offering program (the “ATM program”) on August 16, 2021, by means of a prospectus supplement dated August 16, 2021, to the Company’s short form base shelf prospectus dated August 12, 2021, and U.S. registration statement on Form-F-10, which included a prospectus supplement related to the ATM.</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program expired on September 12, 2023. Over the course of the ATM program, the Company issued 105,368,000 common shares in exchange for gross proceeds of $277.0 million at an average share price of approximately $2.63. The Company received net proceeds of $268.3 million after paying commissions of $8.5 million to the sales agent for the ATM program and $0.3 million in other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ATM program was not active, and no common shares related to the ATM program were issued. During the three months ended December 31, 2022, the Company issued 8,489,000 common shares in exchange for gross proceeds of $5.8 million at an average share price of approximately $0.68. The Company received net proceeds of $5.6 million after paying commissions of $0.2 million to the sales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FY 2023, the Company issued 52,121,000 common shares in the ATM program in exchange for gross proceeds of $70.8 million at an average share price of approximately $1.36. The Company received net proceeds of $68.5 million after paying commissions of $2.2 million to the sales agent, in addition to $0.1 million of other transaction fees. During FY 2022, the Company issued 29,324,000 common shares in the ATM program in exchange for gross proceeds of $56.0 million at an average share price of approximately $1.91. The Company received net proceeds of $54.1 million after paying commissions of $1.8 million to the sales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used the proceeds from the ATM Program that expired on September 12, 2023 to support the growth and development of the Company’s Mining operations, as described in Section 7 -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Described below are the actual use of proceeds from the commencement of the ATM equity offering program through September 30, 2023:</w:t>
      </w: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350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b w:val="1"/>
                <w:bCs w:val="1"/>
                <w:color w:val="auto"/>
              </w:rPr>
              <w:t>Use</w:t>
            </w:r>
          </w:p>
        </w:tc>
      </w:tr>
      <w:tr>
        <w:trPr>
          <w:trHeight w:val="216"/>
        </w:trPr>
        <w:tc>
          <w:tcPr>
            <w:tcW w:w="7740" w:type="dxa"/>
            <w:vAlign w:val="bottom"/>
          </w:tcPr>
          <w:p>
            <w:pPr>
              <w:spacing w:after="0"/>
              <w:rPr>
                <w:sz w:val="18"/>
                <w:szCs w:val="18"/>
                <w:color w:val="auto"/>
              </w:rPr>
            </w:pP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of proceeds</w:t>
            </w:r>
          </w:p>
        </w:tc>
      </w:tr>
      <w:tr>
        <w:trPr>
          <w:trHeight w:val="216"/>
        </w:trPr>
        <w:tc>
          <w:tcPr>
            <w:tcW w:w="7740" w:type="dxa"/>
            <w:vAlign w:val="bottom"/>
          </w:tcPr>
          <w:p>
            <w:pPr>
              <w:spacing w:after="0"/>
              <w:rPr>
                <w:sz w:val="18"/>
                <w:szCs w:val="18"/>
                <w:color w:val="auto"/>
              </w:rPr>
            </w:pP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from</w:t>
            </w:r>
          </w:p>
        </w:tc>
      </w:tr>
      <w:tr>
        <w:trPr>
          <w:trHeight w:val="216"/>
        </w:trPr>
        <w:tc>
          <w:tcPr>
            <w:tcW w:w="7740" w:type="dxa"/>
            <w:vAlign w:val="bottom"/>
          </w:tcPr>
          <w:p>
            <w:pPr>
              <w:spacing w:after="0"/>
              <w:rPr>
                <w:sz w:val="18"/>
                <w:szCs w:val="18"/>
                <w:color w:val="auto"/>
              </w:rPr>
            </w:pP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August 16,</w:t>
            </w:r>
          </w:p>
        </w:tc>
      </w:tr>
      <w:tr>
        <w:trPr>
          <w:trHeight w:val="216"/>
        </w:trPr>
        <w:tc>
          <w:tcPr>
            <w:tcW w:w="7740" w:type="dxa"/>
            <w:vAlign w:val="bottom"/>
          </w:tcPr>
          <w:p>
            <w:pPr>
              <w:spacing w:after="0"/>
              <w:rPr>
                <w:sz w:val="18"/>
                <w:szCs w:val="18"/>
                <w:color w:val="auto"/>
              </w:rPr>
            </w:pP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 to</w:t>
            </w:r>
          </w:p>
        </w:tc>
      </w:tr>
      <w:tr>
        <w:trPr>
          <w:trHeight w:val="216"/>
        </w:trPr>
        <w:tc>
          <w:tcPr>
            <w:tcW w:w="7740" w:type="dxa"/>
            <w:vAlign w:val="bottom"/>
          </w:tcPr>
          <w:p>
            <w:pPr>
              <w:spacing w:after="0"/>
              <w:rPr>
                <w:sz w:val="18"/>
                <w:szCs w:val="18"/>
                <w:color w:val="auto"/>
              </w:rPr>
            </w:pP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45"/>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216"/>
        </w:trPr>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MicroBT Miners (completed in 2023)</w:t>
            </w:r>
          </w:p>
        </w:tc>
        <w:tc>
          <w:tcPr>
            <w:tcW w:w="3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Bitmain Miners (completed in 2023)</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29,298</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Expansion</w:t>
            </w:r>
          </w:p>
        </w:tc>
        <w:tc>
          <w:tcPr>
            <w:tcW w:w="3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Sherbrooke Expansion (completed in 2022)</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22,201</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 Expansion, net of gain on disposition of marketable securities</w:t>
            </w:r>
          </w:p>
        </w:tc>
        <w:tc>
          <w:tcPr>
            <w:tcW w:w="3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50,898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Cowansville Expansion (completed in 2022)</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Paraguay Expansion (completed in 2023)</w:t>
            </w:r>
          </w:p>
        </w:tc>
        <w:tc>
          <w:tcPr>
            <w:tcW w:w="3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3,230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Baie-Comeau Expansion</w:t>
            </w:r>
          </w:p>
        </w:tc>
        <w:tc>
          <w:tcPr>
            <w:tcW w:w="3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3,988</w:t>
            </w:r>
          </w:p>
        </w:tc>
      </w:tr>
      <w:tr>
        <w:trPr>
          <w:trHeight w:val="237"/>
        </w:trPr>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Paso Pe (Paraguay) Expansion</w:t>
            </w:r>
          </w:p>
        </w:tc>
        <w:tc>
          <w:tcPr>
            <w:tcW w:w="3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4,628</w:t>
            </w:r>
          </w:p>
        </w:tc>
      </w:tr>
      <w:tr>
        <w:trPr>
          <w:trHeight w:val="236"/>
        </w:trPr>
        <w:tc>
          <w:tcPr>
            <w:tcW w:w="77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268,310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for total gross proceeds of $43.8 million (CAD$60.0 million) in exchange for 44,444,000 common shares and 22,222,000 warrants to purchase common shares. The Company plans to use the proceeds of the private placement to meet payment commitments on the purchase order of 35,888 T21 Miners expected to be delivered in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2023 v. Q4 2022</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received from the private placement completed in November 2023 net proceeds of $40.6 million after paying commissions and other fees of $3.2 million to the broker. In addition, 6,963,000 warrants and 2,307,000 broker warrants related to the private placement that closed on November 28, 2023, were exercised, resulting in the issuance of 9,270,000 common shares for proceeds of approximately $11.0 million. During the three months ended December 31, 2022, there were no new private placements or exercises of warrants from previous private placements completed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2023 v. FY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FY 2023, the Company received total net proceeds of $51.6 million compared to nil in FY 2022 for the same reasons explained in the </w:t>
      </w:r>
      <w:r>
        <w:rPr>
          <w:rFonts w:ascii="Times New Roman" w:cs="Times New Roman" w:eastAsia="Times New Roman" w:hAnsi="Times New Roman"/>
          <w:sz w:val="18"/>
          <w:szCs w:val="18"/>
          <w:i w:val="1"/>
          <w:iCs w:val="1"/>
          <w:color w:val="auto"/>
        </w:rPr>
        <w:t>Q4 2023</w:t>
      </w:r>
      <w:r>
        <w:rPr>
          <w:rFonts w:ascii="Times New Roman" w:cs="Times New Roman" w:eastAsia="Times New Roman" w:hAnsi="Times New Roman"/>
          <w:sz w:val="18"/>
          <w:szCs w:val="18"/>
          <w:color w:val="auto"/>
        </w:rPr>
        <w:t xml:space="preserve">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Q4 2022 </w:t>
      </w:r>
      <w:r>
        <w:rPr>
          <w:rFonts w:ascii="Times New Roman" w:cs="Times New Roman" w:eastAsia="Times New Roman" w:hAnsi="Times New Roman"/>
          <w:sz w:val="18"/>
          <w:szCs w:val="18"/>
          <w:color w:val="auto"/>
        </w:rPr>
        <w:t>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to its shareholders while optimizing its cost of capital and still ensuring the Company has sufficient liquidity to fund its normal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complete construction of additional facilities in Argentina, if the Company elects to do so, and to fund expansion activities in Canada and Paraguay to achieve its published hashrate targets. In order to achieve its business objectives, the Company may sell or borrow against the BTC that have been accumulated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The next BTC Halving is expected to occur in April 2024, at which time BTC block rewards will decrease from 6.25 BTC per block to 3.125 BTC per block. Once 21 million BTC are generated on or about the year 2140,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Pursuant to the digital asset management program, the Company added 3,301 BTC to its balance sheet during the year ended December 31, 2021.</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Board of Directors (the “BOD”) authorized Management to purchase 1,000 BTC. During the second quarter of 2022, following the BOD approval, the Company sold 3,000 BTC in collateral to repay part of the Credit Facility and 350 BTC in treasury to manage liquidity levels. During the third quarter of 2022, the Company sold 670 BTC in collateral to repay part of the Credit Facility and 1,925 BTC in treasury to maintain sufficient liquidity levels. On August 1, 2022, Management received approval from the BOD to sell daily production, in addition to any sale of up to 1,000 BTC from treasury, should market conditions be justified in its discretion. During Q4 2022, the Company sold 1,359 BTC in collateral to repay the remaining balance of the Credit Facility in full and 1,734 BTC in treasury to manage liquidity levels. Since January 2022, the Company has not purchased any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Digital Asset Management Program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Presented below are the total BTC sold and proceeds per quarter in FY 2023, a portion of which was used to repay equipment-related indebtedness, with the remaining portion used to fund operations and expansion plans:</w:t>
      </w:r>
    </w:p>
    <w:p>
      <w:pPr>
        <w:spacing w:after="0" w:line="204"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top w:val="single" w:sz="8" w:color="auto"/>
            </w:tcBorders>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sold</w:t>
            </w:r>
          </w:p>
        </w:tc>
        <w:tc>
          <w:tcPr>
            <w:tcW w:w="2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1,018</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1,109</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w:t>
            </w:r>
          </w:p>
        </w:tc>
      </w:tr>
      <w:tr>
        <w:trPr>
          <w:trHeight w:val="250"/>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proceeds</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41,585</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28,354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30,886</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28,483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804 BTC as of December 31, 2023, valued at approximately $34.0 million based on a BTC price of approximately $42,300, as of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The Company can transfer digital assets between custodians and has its own multi-signature wallets as a contingency plan that would have a minimal impact on the Company’s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6, 2024, the Company has 807 BTC, valued at $54.1 million on its balance sheet. As of the date of this MD&amp;A, 100% of the Company’s BTC are held in custody with Coinbase Custody and Anchorage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Custody of Digital assets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annual report, on Form 10-K, filed with the U.S. Securities Exchange Commission on February 15, 2024,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BOD approved a hedging program and authorized Management, through a risk management committee specifically created for this purpose, to implement hedges using BTC option contracts for up to 20% of the Company’s BTC compensation per month and up to three months of future BTC compensation. In April 2023, the BOD authorized Management to increase the BTC option contracts to up to 50% of the Company’s BTC compensation per month and up to six months of expected future BTC compensation. As of March 6, 2024, the risk management committee has not engaged in hedging to the full extent approved by the BOD. The Company has a hedge in place of 160 BTC of expected future BTC compensation.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twelve months ended December 31, 2023, the Company secured BTC option contracts to sell digital assets which resulted in a loss of $0.3 million and $0.5 million, respectively, mainly related to premiums paid for the option contracts hedging the potential risk of the BTC price decreasing and protecting the Company’s margins. Refer to Note 22 to the Financial Statements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manage a more capital-efficient portfolio, in June 2023, the BOD approved a HODL strategy, referred to as a synthetic HODL strategy, which allows up to 20% of the Company’s BTC exposure to be replicated using BTC call options. In October 2023, the Company initiated its Synthetic HODL strategy with the purchase of long-dated BTC call options. The primary objective of the Synthetic HODL is to allow the Company to accumulate BTC in treasury and increase BTC exposure in a manner that is risk-managed and capital efficient. As of March 6, 2024, the Company has active call option contracts providing the right to buy up to 135 BTC. It remains within the risk management committee’s discretion to dynamically adjust Bitfarms’ hedge and Synthetic HODL ratios within the risk limits approved by the BOD to more adequately respond to market factors that are beyond the Company’s operational control. During the three and twelve months ended December 31, 2023, the Company purchased long-dated BTC call options which resulted in an unrealized gain of $0.5 million for both periods primarily attributable to the increase in the BTC price over the respected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 and</w:t>
            </w: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8"/>
        </w:trPr>
        <w:tc>
          <w:tcPr>
            <w:tcW w:w="3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138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9,077</w:t>
            </w:r>
          </w:p>
        </w:tc>
        <w:tc>
          <w:tcPr>
            <w:tcW w:w="0" w:type="dxa"/>
            <w:vAlign w:val="bottom"/>
          </w:tcPr>
          <w:p>
            <w:pPr>
              <w:spacing w:after="0"/>
              <w:rPr>
                <w:sz w:val="1"/>
                <w:szCs w:val="1"/>
                <w:color w:val="auto"/>
              </w:rPr>
            </w:pPr>
          </w:p>
        </w:tc>
      </w:tr>
      <w:tr>
        <w:trPr>
          <w:trHeight w:val="234"/>
        </w:trPr>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4,022</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4,087</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20,526</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17,186</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2,827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2,548</w:t>
            </w:r>
          </w:p>
        </w:tc>
        <w:tc>
          <w:tcPr>
            <w:tcW w:w="14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8,079</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33,625</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2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Company’s remaining payment obligations in connection with the 35,888 Bitmain T21 Miners purchase order are outlined below:</w:t>
      </w:r>
    </w:p>
    <w:tbl>
      <w:tblPr>
        <w:tblLayout w:type="fixed"/>
        <w:tblInd w:w="0" w:type="dxa"/>
        <w:tblCellMar>
          <w:top w:w="0" w:type="dxa"/>
          <w:left w:w="0" w:type="dxa"/>
          <w:bottom w:w="0" w:type="dxa"/>
          <w:right w:w="0" w:type="dxa"/>
        </w:tblCellMar>
      </w:tblPr>
      <w:tr>
        <w:trPr>
          <w:trHeight w:val="223"/>
        </w:trPr>
        <w:tc>
          <w:tcPr>
            <w:tcW w:w="618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ending March 31, 2024</w:t>
            </w:r>
          </w:p>
        </w:tc>
        <w:tc>
          <w:tcPr>
            <w:tcW w:w="5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41,446</w:t>
            </w:r>
          </w:p>
        </w:tc>
      </w:tr>
      <w:tr>
        <w:trPr>
          <w:trHeight w:val="223"/>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June 30, 2024</w:t>
            </w:r>
          </w:p>
        </w:tc>
        <w:tc>
          <w:tcPr>
            <w:tcW w:w="5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44,551</w:t>
            </w:r>
          </w:p>
        </w:tc>
      </w:tr>
      <w:tr>
        <w:trPr>
          <w:trHeight w:val="223"/>
        </w:trPr>
        <w:tc>
          <w:tcPr>
            <w:tcW w:w="6180" w:type="dxa"/>
            <w:vAlign w:val="bottom"/>
            <w:tcBorders>
              <w:bottom w:val="single" w:sz="8" w:color="auto"/>
            </w:tcBorders>
            <w:shd w:val="clear" w:color="auto" w:fill="CCEEFF"/>
          </w:tcPr>
          <w:p>
            <w:pPr>
              <w:spacing w:after="0"/>
              <w:rPr>
                <w:sz w:val="19"/>
                <w:szCs w:val="19"/>
                <w:color w:val="auto"/>
              </w:rPr>
            </w:pPr>
          </w:p>
        </w:tc>
        <w:tc>
          <w:tcPr>
            <w:tcW w:w="5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85,997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Company’s recent private placement closed during the year ended December 31, 2023, as disclosed in Note 21 of the Financial Statements, the Company anticipates having sufficient liquidity to complete the payment obligations included in the table above.</w:t>
      </w:r>
    </w:p>
    <w:p>
      <w:pPr>
        <w:spacing w:after="0" w:line="158"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that the vendor located in China claimed originated in Malaysia. In early 2022, U.S. Customs and Border Protection challenged the origination of the Miners, asserting their manufacture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the Company submitted the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POSITION</w:t>
      </w:r>
    </w:p>
    <w:p>
      <w:pPr>
        <w:spacing w:after="0" w:line="225"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color w:val="auto"/>
              </w:rPr>
              <w:t>As of December 31,</w:t>
            </w:r>
          </w:p>
        </w:tc>
        <w:tc>
          <w:tcPr>
            <w:tcW w:w="1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5"/>
        </w:trPr>
        <w:tc>
          <w:tcPr>
            <w:tcW w:w="3540" w:type="dxa"/>
            <w:vAlign w:val="bottom"/>
          </w:tcPr>
          <w:p>
            <w:pPr>
              <w:spacing w:after="0"/>
              <w:rPr>
                <w:sz w:val="20"/>
                <w:szCs w:val="20"/>
                <w:color w:val="auto"/>
              </w:rPr>
            </w:pPr>
            <w:r>
              <w:rPr>
                <w:rFonts w:ascii="Times New Roman" w:cs="Times New Roman" w:eastAsia="Times New Roman" w:hAnsi="Times New Roman"/>
                <w:sz w:val="1"/>
                <w:szCs w:val="1"/>
                <w:color w:val="auto"/>
              </w:rPr>
              <w:t>(U.S. $ in thousands)</w:t>
            </w:r>
          </w:p>
        </w:tc>
        <w:tc>
          <w:tcPr>
            <w:tcW w:w="3380" w:type="dxa"/>
            <w:vAlign w:val="bottom"/>
          </w:tcPr>
          <w:p>
            <w:pPr>
              <w:jc w:val="right"/>
              <w:ind w:right="27"/>
              <w:spacing w:after="0"/>
              <w:rPr>
                <w:sz w:val="20"/>
                <w:szCs w:val="20"/>
                <w:color w:val="auto"/>
              </w:rPr>
            </w:pPr>
            <w:r>
              <w:rPr>
                <w:rFonts w:ascii="Times New Roman" w:cs="Times New Roman" w:eastAsia="Times New Roman" w:hAnsi="Times New Roman"/>
                <w:sz w:val="1"/>
                <w:szCs w:val="1"/>
                <w:b w:val="1"/>
                <w:bCs w:val="1"/>
                <w:color w:val="auto"/>
              </w:rPr>
              <w:t>2023</w:t>
            </w:r>
          </w:p>
        </w:tc>
        <w:tc>
          <w:tcPr>
            <w:tcW w:w="1960" w:type="dxa"/>
            <w:vAlign w:val="bottom"/>
          </w:tcPr>
          <w:p>
            <w:pPr>
              <w:jc w:val="right"/>
              <w:ind w:right="327"/>
              <w:spacing w:after="0"/>
              <w:rPr>
                <w:sz w:val="20"/>
                <w:szCs w:val="20"/>
                <w:color w:val="auto"/>
              </w:rPr>
            </w:pPr>
            <w:r>
              <w:rPr>
                <w:rFonts w:ascii="Times New Roman" w:cs="Times New Roman" w:eastAsia="Times New Roman" w:hAnsi="Times New Roman"/>
                <w:sz w:val="1"/>
                <w:szCs w:val="1"/>
                <w:color w:val="auto"/>
              </w:rPr>
              <w:t>2022</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
                <w:szCs w:val="1"/>
                <w:color w:val="auto"/>
              </w:rPr>
              <w:t>$ Change</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
                <w:szCs w:val="1"/>
                <w:color w:val="auto"/>
              </w:rPr>
              <w:t>% Change</w:t>
            </w:r>
          </w:p>
        </w:tc>
      </w:tr>
      <w:tr>
        <w:trPr>
          <w:trHeight w:val="208"/>
        </w:trPr>
        <w:tc>
          <w:tcPr>
            <w:tcW w:w="35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(1)</w:t>
            </w: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129,984</w:t>
            </w:r>
          </w:p>
        </w:tc>
        <w:tc>
          <w:tcPr>
            <w:tcW w:w="196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8"/>
                <w:szCs w:val="18"/>
                <w:color w:val="auto"/>
              </w:rPr>
              <w:t>69,088</w:t>
            </w:r>
          </w:p>
        </w:tc>
        <w:tc>
          <w:tcPr>
            <w:tcW w:w="12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60,896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69,154</w:t>
            </w:r>
          </w:p>
        </w:tc>
        <w:tc>
          <w:tcPr>
            <w:tcW w:w="1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8"/>
                <w:szCs w:val="18"/>
                <w:color w:val="auto"/>
              </w:rPr>
              <w:t>67,413</w:t>
            </w:r>
          </w:p>
        </w:tc>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1,741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b w:val="1"/>
                <w:bCs w:val="1"/>
                <w:color w:val="auto"/>
              </w:rPr>
              <w:t>60,830</w:t>
            </w:r>
          </w:p>
        </w:tc>
        <w:tc>
          <w:tcPr>
            <w:tcW w:w="196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8"/>
                <w:szCs w:val="18"/>
                <w:color w:val="auto"/>
              </w:rPr>
              <w:t>1,675</w:t>
            </w:r>
          </w:p>
        </w:tc>
        <w:tc>
          <w:tcPr>
            <w:tcW w:w="12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59,155</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With the next halving event currently anticipated to occur in April 2024, the Company places, and continues to place, importance on maintaining sufficient liquidity to manage the uncertainty and capitalize upon suitable opportunities the halving event may present. As of December 31, 2023, Bitfarms had working capital of $60.8 million, compared to $1.7 million as of December 31, 2022. The increase in working capital was mostly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$53.2 million increase in cash, mainly related to the issuance of (i) 52,121,000 common shares from the ATM program, for net proceeds of $68.5 million, (ii) 44,444,000 common shares from the private placement completed in November 2023, for net proceeds of $40.6 million, and (iii) 12,317,000 common shares from the exercise of stock options and warrants, for total proceeds of $13.0 million. The liquidity raised was partially used for expansion projects during FY 2023, with the remainder intended for future payments for T21 Miners and general working capital purposes.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increase in total digital assets, including the digital assets pledged as collateral, resulting from the increase of the Company’s treasury by 399 BTC and the appreciation of the BTC price during FY 2023.</w:t>
      </w:r>
    </w:p>
    <w:p>
      <w:pPr>
        <w:jc w:val="both"/>
        <w:ind w:left="340" w:hanging="332"/>
        <w:spacing w:after="0" w:line="25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extinguishment of the BlockFi loan in Q1 2023, which had an outstanding balance of $20.0 million on December 31, 2022, for a payment of $7.8 million, resulting in an increase of $12.2 million in working capital. Refer to section 11A </w:t>
      </w:r>
      <w:r>
        <w:rPr>
          <w:rFonts w:ascii="Times New Roman" w:cs="Times New Roman" w:eastAsia="Times New Roman" w:hAnsi="Times New Roman"/>
          <w:sz w:val="18"/>
          <w:szCs w:val="18"/>
          <w:i w:val="1"/>
          <w:iCs w:val="1"/>
          <w:color w:val="auto"/>
        </w:rPr>
        <w:t>- Liquidity and Capital Resources</w:t>
      </w:r>
      <w:r>
        <w:rPr>
          <w:rFonts w:ascii="Times New Roman" w:cs="Times New Roman" w:eastAsia="Times New Roman" w:hAnsi="Times New Roman"/>
          <w:sz w:val="18"/>
          <w:szCs w:val="18"/>
          <w:color w:val="auto"/>
        </w:rPr>
        <w:t xml:space="preserve"> for details on the extinguishment of the BlockFi loan.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$22.2 million towards the NYDIG loan. The effect on working capital is nil as the repayments decreased the cash balance and the loan balance by corresponding amounts.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working capital was partially offset by:</w:t>
      </w:r>
    </w:p>
    <w:p>
      <w:pPr>
        <w:spacing w:after="0" w:line="27" w:lineRule="exact"/>
        <w:rPr>
          <w:sz w:val="20"/>
          <w:szCs w:val="20"/>
          <w:color w:val="auto"/>
        </w:rPr>
      </w:pPr>
    </w:p>
    <w:p>
      <w:pPr>
        <w:ind w:left="340" w:hanging="332"/>
        <w:spacing w:after="0" w:line="250"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warrant liabilities of $40.3 million due to the closing of the November 2023 private placements and the subsequent fair value revaluation of the warrants for the 2021 and the November 2023 private placements.</w:t>
      </w:r>
    </w:p>
    <w:p>
      <w:pPr>
        <w:ind w:left="340" w:hanging="332"/>
        <w:spacing w:after="0" w:line="250"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short-term prepaid deposits of $6.5 million, mainly related to an impairment loss of $7.0 million during FY 2023. Refer to section 8E - </w:t>
      </w:r>
      <w:r>
        <w:rPr>
          <w:rFonts w:ascii="Times New Roman" w:cs="Times New Roman" w:eastAsia="Times New Roman" w:hAnsi="Times New Roman"/>
          <w:sz w:val="18"/>
          <w:szCs w:val="18"/>
          <w:i w:val="1"/>
          <w:iCs w:val="1"/>
          <w:color w:val="auto"/>
        </w:rPr>
        <w:t>Financial Performance (Impairment).</w:t>
      </w:r>
    </w:p>
    <w:p>
      <w:pPr>
        <w:ind w:left="340" w:hanging="332"/>
        <w:spacing w:after="0"/>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taxes receivable of $12.1 million following the receipt of tax refunds during FY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3" w:lineRule="exact"/>
        <w:rPr>
          <w:sz w:val="20"/>
          <w:szCs w:val="20"/>
          <w:color w:val="auto"/>
        </w:rPr>
      </w:pPr>
    </w:p>
    <w:p>
      <w:pPr>
        <w:ind w:left="340" w:hanging="332"/>
        <w:spacing w:after="0"/>
        <w:tabs>
          <w:tab w:leader="none" w:pos="340" w:val="left"/>
        </w:tabs>
        <w:numPr>
          <w:ilvl w:val="0"/>
          <w:numId w:val="2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Prior year figures are derived from restated financial statements. Refer to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9"/>
        </w:trPr>
        <w:tc>
          <w:tcPr>
            <w:tcW w:w="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As of December 31,</w:t>
            </w: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394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101,454</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142,654</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3940" w:type="dxa"/>
            <w:vAlign w:val="bottom"/>
          </w:tcPr>
          <w:p>
            <w:pPr>
              <w:spacing w:after="0"/>
              <w:rPr>
                <w:sz w:val="18"/>
                <w:szCs w:val="18"/>
                <w:color w:val="auto"/>
              </w:rPr>
            </w:pPr>
          </w:p>
        </w:tc>
        <w:tc>
          <w:tcPr>
            <w:tcW w:w="2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18,154</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32,664</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2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54,657</w:t>
            </w:r>
          </w:p>
        </w:tc>
        <w:tc>
          <w:tcPr>
            <w:tcW w:w="1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31,927</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22,730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Paraguay</w:t>
            </w:r>
          </w:p>
        </w:tc>
        <w:tc>
          <w:tcPr>
            <w:tcW w:w="2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11,747</w:t>
            </w:r>
          </w:p>
        </w:tc>
        <w:tc>
          <w:tcPr>
            <w:tcW w:w="1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12,183</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0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186,012</w:t>
            </w: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219,428</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(33,416)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Bitfarms had PPE of $186.0 million, compared to $219.4 million as of December 31, 2022. The decrease of $33.4 million, or 15%, was primarily due to the $41.2 million decrease of PPE in Canada, mainly related to depreciation expense. PPE in the USA and Paraguay decreased by $14.5 million and $0.4 million, respectively, mostly due to depreciation expense incurred on Miners. These decreases were partially offset by the $22.7 million increase in Argentina PPE primarily due to the delivery of approximately 13,400 Miners in FY 2023.</w:t>
      </w:r>
    </w:p>
    <w:p>
      <w:pPr>
        <w:spacing w:after="0" w:line="176"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Bitfarms had intangible assets of $3.7 million, compared to $33,000 as of December 31, 2022. The $3.7 million increase is mainly due to the Company’s three acquisitions of groups of assets in Quebec and Paraguay during the year ended December 31, 2023, net of $0.1 million of amortization. Each of those acquisitions of groups of assets resulted in contractual access rights to hydro power electricity.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those access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4140" w:type="dxa"/>
            <w:vAlign w:val="bottom"/>
          </w:tcPr>
          <w:p>
            <w:pPr>
              <w:spacing w:after="0"/>
              <w:rPr>
                <w:sz w:val="18"/>
                <w:szCs w:val="18"/>
                <w:color w:val="auto"/>
              </w:rPr>
            </w:pPr>
          </w:p>
        </w:tc>
      </w:tr>
      <w:tr>
        <w:trPr>
          <w:trHeight w:val="245"/>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where indicated)</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4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Quebec</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termination date</w:t>
            </w:r>
          </w:p>
        </w:tc>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over the lease term of the facility</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Villarrica (Paso Pe), Paraguay</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MW*</w:t>
            </w: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Ending on December 31, 2027   Straight-line over the access rights period</w:t>
            </w:r>
          </w:p>
        </w:tc>
      </w:tr>
      <w:tr>
        <w:trPr>
          <w:trHeight w:val="223"/>
        </w:trPr>
        <w:tc>
          <w:tcPr>
            <w:tcW w:w="2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Yguazu, Paraguay</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MW</w:t>
            </w:r>
          </w:p>
        </w:tc>
        <w:tc>
          <w:tcPr>
            <w:tcW w:w="652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on December 31, 2027   Straight-line over the access rights period</w:t>
            </w:r>
          </w:p>
        </w:tc>
      </w:tr>
      <w:tr>
        <w:trPr>
          <w:trHeight w:val="223"/>
        </w:trPr>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3,801</w:t>
            </w:r>
          </w:p>
        </w:tc>
        <w:tc>
          <w:tcPr>
            <w:tcW w:w="11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172 MW</w:t>
            </w:r>
          </w:p>
        </w:tc>
        <w:tc>
          <w:tcPr>
            <w:tcW w:w="238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5 and 14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22 to the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23 to the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Statements, the Company has restated its consolidated statements of financial position as of December 31, 2022 and January 1, 2022, its consolidated statements of profit or loss and comprehensive profit or loss for the year ended December 31, 2022 and its consolidated statements of cash flows for the year ended December 31, 2022, which were previously filed on SEDAR+ and EDGAR. Subsequent to the original issuance of those financial statements, Management, with the assistance of outside counsel, conducted a review of the private placement financings which closed in 2021 (“2021 private placements'') to determine if the warrants issued should be recognized as financial liabilities and accounted for at fair value through profit and loss rather than as equity instruments.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private placement financings were comprised of common shares and warrants. The warrants are convertible for a fixed number of common shares of the Company but have a contingent cashless exercise clause (i.e., there was a contingent variability provision). In accordance with IAS 32, Financial Instruments: Presentation, variability in the number of its own shares delivered upon exercise of the warrants would result in a financial liability.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2023, the Company concluded that the proper accounting classification of the warrants was as financial liabilities and accounted for at fair value through profit and loss. Although the conditional settlement provisions attached to the warrants are unlikely to occur, they are deemed to be genuine and, accordingly, the warrants should be recognized as financial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adjustments to the figures reported in the previously mentioned financial statements periods and present the warrants issued in connection with the private placement financings as financial liabilities as shown in the restated audit consolidated financial statements for the years ended December 31, 2023 and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financial statements restatement, please refer to Note 3e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Chief Executive Officer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under the supervision of the Company’s CEO and CFO, has evaluated, or caused to be evaluated, the effectiveness of the Company’s DC&amp;P as defined in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as of December 31, 2023. As a result of this evaluation, the Company’s CEO and CFO have concluded that the Company’s DC&amp;P were not effective as of December 31, 2023, and that the design and operating of the Company’s DC&amp;P were not effective to provide reasonable assurance that all material information relating to the Company was reported as required because material weaknesses in the current operation of the Company’s internal control over financial reporting were identified, as described below.</w:t>
      </w:r>
    </w:p>
    <w:p>
      <w:pPr>
        <w:spacing w:after="0" w:line="183"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internal controls over financial reporting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of the CEO and CFO of the Company, has evaluated the effectiveness of its ICFR as of December 31, 2023, as defined in National Instruments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The evaluation was based on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as of December 31, 2023, the Company’s ICFR was not effective because a material weakness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material weaknesses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preparation of the Company’s financial statements for the year ended December 31, 2023, and specifically, in connection with the accounting for private placement warrants that were issued in the fourth quarter of 2023, Management identified an error in its accounting for previously issued warrants that were issued in connection with certain private placement financings in 2021. Management has determined that the control over accounting for complex financing transactions did not operate effectively in 2021 as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has been reflected in the restated comparative periods (including an opening balance sheet as of January 1, 2022) presented in the consolidated financial statements for the year ended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Section 15 for more details about the material errors and related restatements. Management considers these restatements to constitute a material weakness that requires remediation, and Management is in the process of implementing remediation measures to address the material weakness.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remediation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financial instruments and review of financial statements. Management’s efforts are ongoing and its remediation plan is expected to be completed during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the “Risk Factors” section of this MD&amp;A.</w:t>
      </w:r>
    </w:p>
    <w:p>
      <w:pPr>
        <w:spacing w:after="0" w:line="172"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the exception of the items identified above, there have been no changes in the Company’s ICFR that have materially affected, or are reasonably likely to materially affect, the Company’s ICFR during the period beginning on October 1, 2023 and ended December 31, 2023.</w:t>
      </w:r>
    </w:p>
    <w:p>
      <w:pPr>
        <w:spacing w:after="0" w:line="158"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339,274,000 common shares outstanding, 12,177,000 vested and 8,647,000 unvested stock options, 29,898,000 warrants outstanding and 625,000 restricted stock units. There are no preferred shares or any other classes of shares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one 54 MW server farm located in Cordoba, Argentina (with an electrical infrastructure capacity of 55 MW). Refer to Section 7 - </w:t>
      </w:r>
      <w:r>
        <w:rPr>
          <w:rFonts w:ascii="Times New Roman" w:cs="Times New Roman" w:eastAsia="Times New Roman" w:hAnsi="Times New Roman"/>
          <w:sz w:val="18"/>
          <w:szCs w:val="18"/>
          <w:i w:val="1"/>
          <w:iCs w:val="1"/>
          <w:color w:val="auto"/>
        </w:rPr>
        <w:t xml:space="preserve">Expansion Projects - A. Argentina Expansion </w:t>
      </w:r>
      <w:r>
        <w:rPr>
          <w:rFonts w:ascii="Times New Roman" w:cs="Times New Roman" w:eastAsia="Times New Roman" w:hAnsi="Times New Roman"/>
          <w:sz w:val="18"/>
          <w:szCs w:val="18"/>
          <w:color w:val="auto"/>
        </w:rPr>
        <w:t>of this MD&amp;A and the 2023 AIF under Section 5.2</w:t>
      </w:r>
      <w:r>
        <w:rPr>
          <w:rFonts w:ascii="Times New Roman" w:cs="Times New Roman" w:eastAsia="Times New Roman" w:hAnsi="Times New Roman"/>
          <w:sz w:val="18"/>
          <w:szCs w:val="18"/>
          <w:i w:val="1"/>
          <w:iCs w:val="1"/>
          <w:color w:val="auto"/>
        </w:rPr>
        <w:t xml:space="preserve"> - FUTURE GROWTH PLANS - ARGENTINA 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2023 AIF,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operates one 10 MW server farm located in Villarrica, Paraguay. Refer to Section 7 - </w:t>
      </w:r>
      <w:r>
        <w:rPr>
          <w:rFonts w:ascii="Times New Roman" w:cs="Times New Roman" w:eastAsia="Times New Roman" w:hAnsi="Times New Roman"/>
          <w:sz w:val="18"/>
          <w:szCs w:val="18"/>
          <w:i w:val="1"/>
          <w:iCs w:val="1"/>
          <w:color w:val="auto"/>
        </w:rPr>
        <w:t>Expansion Projects - B. Paraguay Expansion</w:t>
      </w:r>
      <w:r>
        <w:rPr>
          <w:rFonts w:ascii="Times New Roman" w:cs="Times New Roman" w:eastAsia="Times New Roman" w:hAnsi="Times New Roman"/>
          <w:sz w:val="18"/>
          <w:szCs w:val="18"/>
          <w:color w:val="auto"/>
        </w:rPr>
        <w:t xml:space="preserve"> of this MD&amp;A and the 2023 AIF under Section 5.3 </w:t>
      </w:r>
      <w:r>
        <w:rPr>
          <w:rFonts w:ascii="Times New Roman" w:cs="Times New Roman" w:eastAsia="Times New Roman" w:hAnsi="Times New Roman"/>
          <w:sz w:val="18"/>
          <w:szCs w:val="18"/>
          <w:i w:val="1"/>
          <w:iCs w:val="1"/>
          <w:color w:val="auto"/>
        </w:rPr>
        <w:t>- FUTURE GROWTH PLANS - PARAGUAY EXPANSION.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2023 AIF,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operates one 18 MW server farm located in the State of Washington in the United States. Refer to Section 7 - </w:t>
      </w:r>
      <w:r>
        <w:rPr>
          <w:rFonts w:ascii="Times New Roman" w:cs="Times New Roman" w:eastAsia="Times New Roman" w:hAnsi="Times New Roman"/>
          <w:sz w:val="18"/>
          <w:szCs w:val="18"/>
          <w:i w:val="1"/>
          <w:iCs w:val="1"/>
          <w:color w:val="auto"/>
        </w:rPr>
        <w:t>Expansion Projects -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Washington Expansion </w:t>
      </w:r>
      <w:r>
        <w:rPr>
          <w:rFonts w:ascii="Times New Roman" w:cs="Times New Roman" w:eastAsia="Times New Roman" w:hAnsi="Times New Roman"/>
          <w:sz w:val="18"/>
          <w:szCs w:val="18"/>
          <w:color w:val="auto"/>
        </w:rPr>
        <w:t>of this MD&amp;A and the 2023 AIF under the Section 5.4</w:t>
      </w:r>
      <w:r>
        <w:rPr>
          <w:rFonts w:ascii="Times New Roman" w:cs="Times New Roman" w:eastAsia="Times New Roman" w:hAnsi="Times New Roman"/>
          <w:sz w:val="18"/>
          <w:szCs w:val="18"/>
          <w:i w:val="1"/>
          <w:iCs w:val="1"/>
          <w:color w:val="auto"/>
        </w:rPr>
        <w:t xml:space="preserve"> - FUTURE GROWTH PLANS - WASHINGTON EXPANSION.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2023 AIF, and as of the date of this MD&amp;A,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Refer to Section 7 - </w:t>
      </w:r>
      <w:r>
        <w:rPr>
          <w:rFonts w:ascii="Times New Roman" w:cs="Times New Roman" w:eastAsia="Times New Roman" w:hAnsi="Times New Roman"/>
          <w:sz w:val="18"/>
          <w:szCs w:val="18"/>
          <w:i w:val="1"/>
          <w:iCs w:val="1"/>
          <w:color w:val="auto"/>
        </w:rPr>
        <w:t>Expansion Projects - D. Canada Expansion</w:t>
      </w:r>
      <w:r>
        <w:rPr>
          <w:rFonts w:ascii="Times New Roman" w:cs="Times New Roman" w:eastAsia="Times New Roman" w:hAnsi="Times New Roman"/>
          <w:sz w:val="18"/>
          <w:szCs w:val="18"/>
          <w:color w:val="auto"/>
        </w:rPr>
        <w:t xml:space="preserve"> of this MD&amp;A and the 2023 AIF under the Section 5.5 </w:t>
      </w:r>
      <w:r>
        <w:rPr>
          <w:rFonts w:ascii="Times New Roman" w:cs="Times New Roman" w:eastAsia="Times New Roman" w:hAnsi="Times New Roman"/>
          <w:sz w:val="18"/>
          <w:szCs w:val="18"/>
          <w:i w:val="1"/>
          <w:iCs w:val="1"/>
          <w:color w:val="auto"/>
        </w:rPr>
        <w:t>- FUTURE GROWTH PLANS -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2023 AIF, and as of the date of this MD&amp;A,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MD&amp;A, as well as the risk factors, uncertainties, and other information disclosed in the Company’s other public filings before making an investment decision regarding the Company’s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Halving Event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May 2020, the BTC Block Reward decreased from 12.5 to 6.25 BTC per block (a “BTC Halving”), and, consequently, the number of new BTC issued to Miners as a subsidy decreased to approximately 900 per day, excluding transaction fees.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BTC Halving had a significant negative impact on the Company’s profitability for several months following the BTC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BTC Halving is that market variables of BTC price will adjust over time to ensure that Mining remains profitable. The period of market normalization after the next BTC Halving to incentivize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which is expected to occur around 2140. Once 21 million BTC are generated, the network will stop producing more. The next BTC Halving is expected to occur in April 2024, at which time BTC Block Rewards will decrease from 6.25 BTC per block to 3.125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BTC price and difficulty do not maintain or continue their trend of adjusting to pre-BTC Halving profitability levels over time, or the period of market normalization after the BTC Halving to pre-BTC Halving profitability levels is too long, there is a risk that a future BTC Halving will render the Company unprofitable for a sustained time period such that it could be unable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Insolvency, Bankruptcy, or Cessation of Operations of Mining Pool Operator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been a member of multiple third-party Mining Pools; however, as of the date hereof, it participates in only one Mining Pool, being Foundry Pool. Foundry Pool is owned indirectly by Digital Currency Group, which also owns Genesis Global Capital (“Genesis”). On January 19, 2023, Genesis filed for U.S. bankruptcy protection. In the event that Foundry Pool (or any other Mining Pool in which the Company participates) ceases making payments to Bitfarms for whatever reason, including bankruptcy, insolvency or cessation of its operations, or for no reason, Bitfarms would expect to immediately cease contributing its Hash power to such Mining Pool and either: (i) join a different Mining Pool; or (ii) commence Mining independently. The Company estimates that such a switch would take approximately one day in either scenario. Given that Foundry Pool pays the Company on a daily basis, the cost of switching, if such a switch is ever deemed necessary by the Company, is expected to be the lost revenues the Company would have earned had it been Mining during that approximate one day period (and one additional day in the case Foundry Pool failed to pay the Company for its work, causing the decision to leave the Mining Pool). In the event that the Company is unable to make such a switch of its operations in a timely manner and its Mining operations experience significant down time, it may experience a material adverse change</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Foreign Mining Pool Operator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Bitfarms participates in a single Mining Pool, being Foundry Pool. Consequently, the Company’s operations are substantially reliant on Foundry Pool and the terms of services and other terms and conditions that govern its relationship with Foundry Pool. Foundry Pool has the right to unilaterally modify the service agreement between it and the Company at any time without notice. This includes the right to modify the payout methodology or Mining Pool fees. In the event that any such modifications are unattractive or unacceptable to the Company, it may: (i) join a different Mining Pool; or (ii) commence Mining independently, either of which may cause a material adverse change. See risk factor </w:t>
      </w:r>
      <w:r>
        <w:rPr>
          <w:rFonts w:ascii="Times New Roman" w:cs="Times New Roman" w:eastAsia="Times New Roman" w:hAnsi="Times New Roman"/>
          <w:sz w:val="18"/>
          <w:szCs w:val="18"/>
          <w:i w:val="1"/>
          <w:iCs w:val="1"/>
          <w:color w:val="auto"/>
        </w:rPr>
        <w:t>Insolvency, Bankruptcy, or Cessation of Operations of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above.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the Company received from Foundry Pool. As of the date hereof, the Company has not identified any material discrepancies between its calculations and payments actually received from Foundry Pool. In the event that the Company identifies a material difference, the Company may have to engage in litigation and/or cease its relationship with Foundry Pool, either of which may have a material adverse effect on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Pool Agreements Governed by Foreign Laws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agreement between the Company and Foundry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Mining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event the Company decides to cease participating in a Mining Pool and conduct Mining operations independently, it may be exposed to certain risks. Refer to Section 2 - </w:t>
      </w:r>
      <w:r>
        <w:rPr>
          <w:rFonts w:ascii="Times New Roman" w:cs="Times New Roman" w:eastAsia="Times New Roman" w:hAnsi="Times New Roman"/>
          <w:sz w:val="18"/>
          <w:szCs w:val="18"/>
          <w:i w:val="1"/>
          <w:iCs w:val="1"/>
          <w:color w:val="auto"/>
        </w:rPr>
        <w:t>Company Overview</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 causing a disruption in its revenue stream. In such a circumstance, the Company may need to borrow or raise additional capital to continue operations. There can be no guarantee that the Company could obtain any such financing on commercially attractive terms, or at all, and, consequently, the Company could experience a material adverse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Mining Pool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Manufacturing in Foreign Countries and the Importation of Equipment to the Jurisdictions in Which the Company Operates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in 2018 and 2019, the U.S. enacted tariffs (or increased existing tariffs) on certain items imported from other countries. Following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in a company with operations in emerging markets entails certain inherit risks.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Investing in a company with operations in emerging markets entails certain inherit risks.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Argentina and/or Paraguay may experience economic volatility and other challenges that could affect the Company’s business, financial condition and result of operations.</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The economies of Argentina and Paraguay are vulnerable to external shocks caused by significant economic difficulties of their respective trading partners or by more general “contagion” effects.</w:t>
      </w:r>
    </w:p>
    <w:p>
      <w:pPr>
        <w:jc w:val="both"/>
        <w:spacing w:after="0" w:line="260"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their balance of payments and, consequently, their respective economic growth.</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growth stagnated starting in 2012, and Argentina has struggled to curb strong inflationary pressures since, with inflation spiking in 2023. In particular, Argentina’s annual inflation rate for 2023 ended at 211.4%, the highest since the early 1990s, and it currently has one of the highest rates of inflation in the world. Argentina’s high rate of inflation may adversely impact the Company’s business, results of operation and financial condition in the future. Due to the political and economic uncertainties in Argentina, the Company is uncertain when, or if, the Argentine VAT receivable will be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 economies of Argentina and Paraguay are vulnerable to external shocks caused by significant economic difficulties of their respective trading partners or by more general “contagion” effects.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economic conditions of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compared to foreign currencies; (iv) competitiveness and efficiency of domestic industries and services; (v) levels of domestic consumption and foreign and domestic investment and financing; and (vi) the rate of inflation. Any difficulties faced by the economies of Argentina and Paraguay or challenging or deteriorating financial condition of the same could have a material adverse effect on companies operating in Argentina and Paraguay, including the Company.</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 conducts operations in countries known to experience high levels of corruption, and any violation of anti-corruption laws could subject us to penalties and other adverse consequences.</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those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operations in Argentina and Paraguay, which are jurisdictions perceived as having relatively high levels of corruption. The Company’s activities in those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otherwise committed on its behalf, including by its employees, directors, or other agents, could have a material adverse effect on the Company’s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$16,600 to $44,700 during the year ended December 31, 2023 and ranged from approximately $15,600 to $48,100 during the year ended December 31, 2022. Although the Company partially hedges its investment in BTC, such hedging practices may not adequately protect the Company from BTC’s price volatility and surrounding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Valuation and Price Volatility of Cryptocurrencies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 Further, some of the business decisions (e.g., purchases of Miners and debt financing) the Company has made, and may in the future make, were or will be tied to the price of BTC at the time of each of those decisions. For example, in 2021, the Company made purchase commitments in respect of a significant number of new Miners to be delivered and paid for during the year 2022, when BTC and Miner prices were much lower than at the time of such purchase. Although the Company was successful in renegotiating the agreement and canceling some of those purchase commitments, it may not be able to do so in the future.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Cryptocurrencies and related mining equipment may be subject to momentum pricing, which is typically associated with growth stocks and other assets whose valuation, as determined by the investing public, accounts for anticipated future appreciation in value. Further, the price of mining equipment is often tied to the price of cryptocurrencies and other cryptocurrency economics, such as mining difficulty and the value of corresponding rewards.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trading price of the Company’s common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is, and, in the future, is likely to continue to be, highly correlated to the trading price of BTC. BTC Mining companies’ stock have shown volatility relative to BTC, with many such stocks outperforming BTC in 2020 and 2021 but underperforming relative to BTC in 2022. For example, the closing price of the Company’s common shares on December 31, 2022 was $0.44 and the closing price of BTC was approximately $16,500 and, as of December 30, 2023, the closing price of the Company’s common shares was $2.91 and the closing price of BTC was approximately $42,300.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and financial condition have been and may continue to be adversely affected by declines in cryptocurrency market prices. In addition, the Company has made, and may continue to make, decisions concerning the execution of its business plan, including the development of its facilities and expansion into new markets, purchases of new Miners (or exercising any options it has to purchase new Miners) and incurrence of indebtedness, when BTC prices were, or may be, significantly higher or lower than they currently are, resulting in plans and obligations that the Company reassesses and likely will continue to reassess, particularly in light of potential general declines in cryptocurrency market prices, to determine the practicality, profitability and timeline of such plans and commitments.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have experienced wide fluctuations in price. The market price of the Company’s common shares ranged from $0.42 to $3.56 on Nasdaq and CAD$0.57 to CAD$4.68 on the Toronto Stock Exchange from January 1, 2023 to December 31, 2023. The market price of the Company’s common shares fluctuates significantly in response to a number of factors, most of which the Company cannot control and many of which have not necessarily been related to the operating performance, underlying asset values or prospects of the Company. In particular, the trading price of the Company’s common shares is in many cases directly tied to the price of BTC. Refer to “</w:t>
      </w:r>
      <w:r>
        <w:rPr>
          <w:rFonts w:ascii="Times New Roman" w:cs="Times New Roman" w:eastAsia="Times New Roman" w:hAnsi="Times New Roman"/>
          <w:sz w:val="18"/>
          <w:szCs w:val="18"/>
          <w:i w:val="1"/>
          <w:iCs w:val="1"/>
          <w:color w:val="auto"/>
        </w:rPr>
        <w:t>Valuation and Price Volatility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Cryptocurrencies and Mining Equipment</w:t>
      </w:r>
      <w:r>
        <w:rPr>
          <w:rFonts w:ascii="Times New Roman" w:cs="Times New Roman" w:eastAsia="Times New Roman" w:hAnsi="Times New Roman"/>
          <w:sz w:val="18"/>
          <w:szCs w:val="18"/>
          <w:color w:val="auto"/>
        </w:rPr>
        <w:t>” above for more details. Other factors that may impact the trading price of the Company’s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but are not limited to:</w:t>
      </w:r>
    </w:p>
    <w:p>
      <w:pPr>
        <w:spacing w:after="0" w:line="194" w:lineRule="exact"/>
        <w:rPr>
          <w:sz w:val="20"/>
          <w:szCs w:val="20"/>
          <w:color w:val="auto"/>
        </w:rPr>
      </w:pPr>
    </w:p>
    <w:p>
      <w:pPr>
        <w:ind w:left="660" w:hanging="328"/>
        <w:spacing w:after="0" w:line="261"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between periods or as compared to the Company’s projections or the projections or actual results companies that are perceived to be similar to the Company;</w:t>
      </w: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its competitors, or others in the cryptocurrency industry, such as acquisitions, bankruptcies or restructurings;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or otherwise not currently known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 Price Fluctuations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in the past, caused, and may, in the future, cause, the trading price of the Company’s common shares to decline. A continuation or worsening of the levels of market disruption and volatility seen in the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the subject of that type of litigation in the future, which litigation may be expensive to defend and may divert Management’s attention and resources from the operation of the Company’s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which is generally considered to be a less efficient system than listing on a national exchange, such as the Toronto Stock Exchange and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2023, the Company had cash of $84.0 million, compared to $30.9 million as of December 31, 2022. The Company expects to continue to depend upon selling BTC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Future Capital Needs, Uncertainty of Additional Financing and Dilution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the Company raises additional capital through the issuance of equity securities, the percentage ownership of the Company’s existing shareholders may be reduced, and such existing shareholders may experience additional dilution in net book value per share. Any such newly-issued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lenders as described in more detail in this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result of any such restrictive covenants, the Company could be limited in the manner in which it conducts its business, and it may be unable to engage in favorable business activities or finance future operations or capital needs. In addition, the indebtedness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Global Financial Conditions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Possibility of BTC Mining Algorithms Transitioning to Proof of Stake Validation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BTC shifts from a proof of work validation method to a proof of stake validation method, Mining would require less energy and may render any company that maintains advantages in the current climate (e.g., lower priced electricity, processing, real estate or hosting) less competitive. In September 2022, another prominent cryptocurrency, Ether, shifted from proof of work to a proof of stake validation method. If BTC switches to proof of stake validation in the future, Bitfarms, as a result of its efforts to optimize and improve the efficiency of its BTC Mining operations, may be exposed to the risk of losing the benefit of its capital investments and the competitive advantage Bitfarms hopes to gain from this as a result and may otherwise be negatively impacted. Such events could have a material adverse effect on Bitfarms’ ability to continue as a going concern or to profitably pursue its current growth strategy, which could have a material adverse effect on Bitfarms’ business, prospects or operations and potentially the value of any BTC that Bitfarms earns or otherwise acquires or holds for its own account.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2023, the Company had a net loss from continuing operations of $104.0 million, which net losses were generated as the Company executed its business plan and expands its bitcoin mining activities as bitcoin prices have at times been in a bear market. There is no assurance that the Company will be successful in achieving a return on shareholders’ investment or meeting other metrics of success, which is dependent on bitcoin prices,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Hacking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may be vulnerable to intrusions by hackers who could interfere with and introduce defects into the Company’s Mining operations. Private keys which enable holders to transfer funds may also be lost or stolen, resulting in irreversible losses of cryptocurrencies.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available technology and invest in hardware and equipment required for maintaining and, as applicable, enhancing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operations in the Province of Québec, Washington State, Paraguay and Argentina. The Company’s current and future operations and anticipated growth, and the sustainability of hydro-electricity and natural gas at economical prices for the purposes of cryptocurrency Mining in multiple locations, poses certain risks. These risks as well as the supply of electrical power, electricity rates, terms of service and regulatory regimes are summarized as follows: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the city of Baie-Comeau, Grant PUD, CLYFSA and Generación Mediterranea S.A. Regulated power suppliers may be subject to public policy initiatives and economic development programs which may or may not support the crypto mining industry. There can be no assurance that electricity will continue to be provided in the future or not curtailed to accommodate other users, or otherwise made available on terms which are economic for the Company’s current and future operations, anticipated growth, and sustainability. Any suspension or cessation of power supply, failure of electrical networks, or changes in cost structure which are not economic, in the jurisdictions where the Company utilizes power for its operations, could result in a material adverse effect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w:t>
      </w:r>
      <w:r>
        <w:rPr>
          <w:rFonts w:ascii="Times New Roman" w:cs="Times New Roman" w:eastAsia="Times New Roman" w:hAnsi="Times New Roman"/>
          <w:sz w:val="18"/>
          <w:szCs w:val="18"/>
          <w:i w:val="1"/>
          <w:iCs w:val="1"/>
          <w:color w:val="auto"/>
        </w:rPr>
        <w:t>Régie de l’énergie du Québec</w:t>
      </w:r>
      <w:r>
        <w:rPr>
          <w:rFonts w:ascii="Times New Roman" w:cs="Times New Roman" w:eastAsia="Times New Roman" w:hAnsi="Times New Roman"/>
          <w:sz w:val="18"/>
          <w:szCs w:val="18"/>
          <w:color w:val="auto"/>
        </w:rPr>
        <w:t xml:space="preserve"> (the “Régie”) by giving the Government of Québec the power to determine by regulation the cases in which Hydro-Québec, or any other electrical service provider, may be exempt from their obligation to provide electricity to industrial clients in the Province of Québec.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Hydro-Québec supplies power to certain of the Company’s facilities, and to the Municipal Electrical Networks for the Magog, Baie-Comeau and Sherbrooke facilities.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Québec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4" w:lineRule="exact"/>
        <w:rPr>
          <w:sz w:val="20"/>
          <w:szCs w:val="20"/>
          <w:color w:val="auto"/>
        </w:rPr>
      </w:pPr>
    </w:p>
    <w:p>
      <w:pPr>
        <w:jc w:val="both"/>
        <w:ind w:left="340" w:hanging="332"/>
        <w:spacing w:after="0" w:line="261" w:lineRule="auto"/>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ind w:left="340" w:hanging="332"/>
        <w:spacing w:after="0" w:line="251"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Québec expansion projects, it would be required to participate in the call for tenders process. However, the Régie’s decision also meant that the Company’s pre-existing operations in the Province of Québec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Facilities in Québec. A shut down of 95% of operations for the maximum of 300 hours could result in a revenue decrease of approximately 3.4%.</w:t>
      </w:r>
    </w:p>
    <w:p>
      <w:pPr>
        <w:spacing w:after="0" w:line="190"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had already executed agreements with municipal electricity networks with non-firm service (without financial compensation) for at least 300 hours per year;</w:t>
      </w:r>
    </w:p>
    <w:p>
      <w:pPr>
        <w:ind w:left="660" w:right="20" w:hanging="328"/>
        <w:spacing w:after="0" w:line="250" w:lineRule="auto"/>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would be subject to non-firm service without financial compensation. The treatment of those new clients must be fair and equitable with existing clients; and</w:t>
      </w:r>
    </w:p>
    <w:p>
      <w:pPr>
        <w:ind w:left="660" w:right="20" w:hanging="328"/>
        <w:spacing w:after="0" w:line="260" w:lineRule="auto"/>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was estimated to represent only 3.4% of the 8,760 hours in a year. The Régie did not consider this request unreasonable considering the risks that cryptocurrency clients represent for Hydro-Québec.</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Hydro-Québec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Hydro-Quebec’s request to reduce the amount of power allocated to zero.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already allocated. Hydro-Quebec requested, and the Régie accepted, that such new process be presented on or before January 31, 2024. The hearing is expected to be held between May 13 and June 21,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Company’s complaint was suspended at the request of the parties while the Company and Hydro-Quebec entered into direct discussions. On January 17, 2024, after settlement discussions proved to be unsuccessful, the Company requested the reactivation of the complaint and that a date of hearing be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Facility is subject to a preferential rate of 5% on its first 5 MW of power; and the Farnham Facility is subject to a preferential rate of 20% on its first 10 MW of power.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in its operations in Washington State may adversely impact its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2021, the Company completed the construction of a 10 MW facility in Paraguay (Villarrica). The facility is powered by CLYFSA. CLYFSA is the only private energy distribution company in Paraguay which purchases energy from ANDE, the operator of Paraguay’s national electricity grid, and provides power to almost 15,000 residential and commercial customers in Villarrica.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Paraguay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two power purchase agreements in Paraguay for up to 150 MW of hydro power until December 31, 2027: up to 50 MW in Villarrica, in close proximity to the Company’s existing operations in Paraguay, and up to 100 MW in Yguazu, a new location close to the Itaipú dam, the third largest hydro-electric dam in the world. Hydro power at both locations will be provided by ANDE at a contracted cost of approximately $0.039 per kWh, before VAT, until December 31, 2027, and is not subject to annual inflationary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commenced the construction of a 56 MW facility in Argentina (Rio Cuarto - Cordoba). Construction concluded during Q3 2022, and the site started operations gradually by adding 10MW modules at a time until September 2023, when it became fully operational. The facility receives electricity from Generacion Mediterranea S.A. (“GMSA”), one of the subsidiaries of Grupo Albanesi. Grupo Albanesi is an Argentine private corporate group focused on the energy market which provides natural gas and electrical energy to its clients from its multiple facilities.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Argentina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agreement also allows for GMSA to renegotiate the $0.02 per kWh rate if the ratio of the exchange rate under the blue-chip swap mechanism (refer to section 8d - </w:t>
      </w:r>
      <w:r>
        <w:rPr>
          <w:rFonts w:ascii="Times New Roman" w:cs="Times New Roman" w:eastAsia="Times New Roman" w:hAnsi="Times New Roman"/>
          <w:sz w:val="18"/>
          <w:szCs w:val="18"/>
          <w:i w:val="1"/>
          <w:iCs w:val="1"/>
          <w:color w:val="auto"/>
        </w:rPr>
        <w:t>Net financial income)</w:t>
      </w:r>
      <w:r>
        <w:rPr>
          <w:rFonts w:ascii="Times New Roman" w:cs="Times New Roman" w:eastAsia="Times New Roman" w:hAnsi="Times New Roman"/>
          <w:sz w:val="18"/>
          <w:szCs w:val="18"/>
          <w:color w:val="auto"/>
        </w:rPr>
        <w:t xml:space="preserve"> used in Argentina to the official exchange rate is less than 1.50. The $0.02 per kWh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specifies certain situations where the Company’s supply of electricity can be interrupted, including:</w:t>
      </w:r>
    </w:p>
    <w:p>
      <w:pPr>
        <w:spacing w:after="0" w:line="2" w:lineRule="exact"/>
        <w:rPr>
          <w:sz w:val="20"/>
          <w:szCs w:val="20"/>
          <w:color w:val="auto"/>
        </w:rPr>
      </w:pPr>
    </w:p>
    <w:p>
      <w:pPr>
        <w:ind w:left="660" w:hanging="328"/>
        <w:spacing w:after="0" w:line="250" w:lineRule="auto"/>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agreement with GMSA to receive power at its facility in Rio Cuarto at a fixed rate of 2.1 cents per kWh for the months of November through April 2024, which is expected to lower the Company’s blended cost of power over a full year of operations at approximately 2.5 cents per kWh plus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and intends to continue using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Company’s existing Mining farms, will require additional capital to fund expenses. The Company’s operating expenses and capital expenditures may also increase in future years as it adds consultants, personnel and equipment associated with the maintenance of its Mining farms and any other Mining farms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Fraud and Failure of Cryptocurrency Exchanges, Custodians and Other Trading Venues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this MD&amp;A)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spacing w:after="0" w:line="17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Significant costs and demands upon Management and accounting and finance resources as a result of complying with the laws and regulations affecting public companies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incurs significant administrative, legal, accounting and other burdens and 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and impact of restatement of the Company’s historical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restated certain historical financial statements to reflect a correction to its accounting for warrants issued in the 2021 private placements. Specifically, the Company had previously accounted for the warrants as equity instruments; however, in connection with the preparation of its financial statements for the year ended December 31, 2023, Management concluded that the proper accounting classification of the warrants was as financial liabilities due to the cashless exercise feature included in the warrants. For more information, see Section 15 - </w:t>
      </w:r>
      <w:r>
        <w:rPr>
          <w:rFonts w:ascii="Times New Roman" w:cs="Times New Roman" w:eastAsia="Times New Roman" w:hAnsi="Times New Roman"/>
          <w:sz w:val="18"/>
          <w:szCs w:val="18"/>
          <w:i w:val="1"/>
          <w:iCs w:val="1"/>
          <w:color w:val="auto"/>
        </w:rPr>
        <w:t>Restatement</w:t>
      </w:r>
      <w:r>
        <w:rPr>
          <w:rFonts w:ascii="Times New Roman" w:cs="Times New Roman" w:eastAsia="Times New Roman" w:hAnsi="Times New Roman"/>
          <w:sz w:val="18"/>
          <w:szCs w:val="18"/>
          <w:color w:val="auto"/>
        </w:rPr>
        <w:t xml:space="preserve"> in this MD&amp;A. It is difficult to predict all of the ramifications to the Company from the restatement. The restatement process was time and resource-intensive and involved substantial attention from management and significant costs and expenses, including for professional advisors assisting with the restatement. Although the restatement is now completed, it is possible that the Company will receive inquiries from the SEC, Canadian securities regulators, TSX and/or Nasdaq regarding the restated financial statements or related matters, which could consume a significant amount of resources.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Comprehensive Accounting Guidance for Cryptocurrencies under IFRS Accounting Standards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there has been limited precedent set and a lack of specific accounting guidance for cryptocurrencies under certain applicable accounting standards, including, among other things, revenue recognition, it is unclear how Bitcoin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Bitcoin-related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 In addition, the accounting policies of many Bitcoin mining companies are being subjected to heightened scrutiny by regulators and the public. More specifically, the Company received comments from the staff of the SEC’s Division of Corporation Finance Office of Crypto Assets on the financial statements included in the Company’s annual report on Form 40-F for the year ended December 31, 2022 filed with the SEC, which comments focused on the accounting of the Company’s Bitcoin-related operations. Some of those comments have not yet been resolved.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that, as a result of the SEC’s determinations as to the application of the relevant IFRS Accounting Standards and the resolution of the Company’s SEC comments, the Company could be obligated in the future to restate historical financial statements. In connection with any such restatement, as well as the warrant accounting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continued uncertainty with regard to financial accounting matters, particularly as they relate to the Company, the financial accounting of its bitcoin-related operations and the SEC comments the Company has received in respect of such matters, could negatively impact the Company’s business, prospects, financial condition and results of operations and its ability to raise capital on terms acceptable to the Company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Material Weakness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Internal Control Material Weakness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course of preparing the financial statements for the year ended December 31, 2023, Management identified a material weakness in the effectiveness of the Company’s ICFR for each of the years ended December 31, 2021, 2022 and 2023 related to the classification of warrants as financial liabilities that resulted in the restatement of the Company’s financial statements for the year ended December 31, 2022. For more information, including a description of the remediation efforts that the Company believes are required to address the identified material weakness, refer to the “Disclosure Controls and Procedures” and “Internal Control over Financial Reporting” sections in this MD&amp;A.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“1940 Act”),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22, 2023, the Canadian Department of Finance released the Budget Implementation Act, Bill c.47, a set of legislation to implement certain tax measures. These tax measures include restricting the ability of cryptocurrency Mining companies to claim back the consumption taxes they incur on purchases of goods and services made in Canada and imports into Canada with a date of enactment of February 5, 2022.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or Internet Failures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server farms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Existing and prospective shareholders should consult their own tax advisors with respect to any tax considerations that may be relevant to an investment in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due to changes in, or the imposition of new, environmental regulations has the potential to reduce the profitability of the Company’s operations, cause delays in the development of its Mining projects or, in extreme cases, lead to the Company not being able to operate fully or at all in one or more of the jurisdictions in which it currently has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produce computational power. As of the date of this MD&amp;A, approximately 74% of the Company’s energy requirements are met by hydro-electricity.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for such matters may be significant and could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ESG Practices and the Impacts of Climate Change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Management’s time and energy may be diverted from executing on the Company’s strategic goals towards responding to such scrutiny and addressing and enhancing the Company’s ESG practices, which may not enhance the value of the Company’s common shares or positively impact shareholder return.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 of the Company’s operations. Other factors which may impact the Company’s profitability include, but are not limited to, demand for BTC and other cryptocurrencies, insurance and other operating costs, and damage incurred as a result of extreme weather events. New environmental laws, regulations or industry standards may be adopted with little or no notice to the Company and may impose significant operational restrictions and compliance requirements on the Company’s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Legislation and Scrutiny Regarding Human Rights Issues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Legislation and Scrutiny Regarding Human Rights Issues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spacing w:after="0" w:line="183" w:lineRule="exact"/>
        <w:rPr>
          <w:sz w:val="20"/>
          <w:szCs w:val="20"/>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Developments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including, in particular, in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and Anchorage Digital, is not insured. Although Coinbase Custody maintains an insurance policy of $320 million for its cold storage and Anchorage Digital maintains an insurance policy of an aggregate of $50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that are not adequately covered by insurance or for which insurance coverage is not available or has not been obtained could adversely impact the Company, including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of acceptance and/or Widespread Use of Cryptocurrencies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cryptocurrencies are not widely used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High-voltage Electricity Transmission and Industrial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 See “</w:t>
      </w:r>
      <w:r>
        <w:rPr>
          <w:rFonts w:ascii="Times New Roman" w:cs="Times New Roman" w:eastAsia="Times New Roman" w:hAnsi="Times New Roman"/>
          <w:sz w:val="18"/>
          <w:szCs w:val="18"/>
          <w:i w:val="1"/>
          <w:iCs w:val="1"/>
          <w:color w:val="auto"/>
        </w:rPr>
        <w:t>The Company conducts operations in countries known to experience high levels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corruption, and any violation of anti-corruption laws could subject us to penalties and other adverse consequences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Foreign Corrupt Practices Act and Similar Legislation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Pandemic and Infectious Disease Risk</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could have an adverse impact on the global economy, the economies of the jurisdictions where the Company operates and the Company’s business, including adverse changes to the way the Company and its counterparties operate and the ability of the Company to execute on its strategic goals and expansion plans in a timely manner or at all, and on the Company’s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Management to make certain estimates, judgments and assumptions that affect the reported amounts of assets and liabilities at the date of the Financial Statements and the reported amounts of revenues and expenses during the reporting periods. Actual outcomes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include estimates that, by their nature, are uncertain. Key areas of estimation uncertainty include those relating to:</w:t>
      </w:r>
    </w:p>
    <w:p>
      <w:pPr>
        <w:spacing w:after="0" w:line="225" w:lineRule="exact"/>
        <w:rPr>
          <w:sz w:val="20"/>
          <w:szCs w:val="20"/>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(Note 4 and Note 9 to the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 going concern (Note 2 and Note 4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(Note 4 and Note 18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intangible assets (Note 4, Note 13 and Note 14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reversal of impairment of non-financial assets (Note 4 and Note 12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(Note 4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liability (Note 4 and Note 15 to the Financial Statements);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of long-term debt (Note 4 and Note 17 to the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impacts of such estimates are pervasive throughout the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to the Financial Statements for more information regarding the Company’s significant accounting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3 to the Financial Statements for more information regarding the Company’s material accounting policy information and new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and do not have a standardized meaning prescribed by IFRS.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including the Company’s Annual Information Form,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266"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ASIC</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SHA-256 algorithm.</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 Miners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for each block they successfully mine. The current block reward is 6.25 BTC per block.</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 Blockchain</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grows as new sets of data, or ‘blocks’, are added to it through Mining. Each block contains a timestamp and a link to the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previous block, such that the series of blocks form a continuous chain.  Given that each block has a separate hash and each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hash requires information from the previous block, altering information an established block would require recalculating all</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hashes on the Blockchain which would require an enormous and impracticable amount of computing power. As a result,</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once a block is added to the Blockchain it is very difficult to edit and impossible to delete.</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Exahash</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One quintillion (1,000,000,000,000,000,000) hashes per second or one million Terahash.</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Hash</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transactions is the SHA-256 algorithm.</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Megawatt</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Rewards.</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 increase</w:t>
            </w:r>
          </w:p>
        </w:tc>
      </w:tr>
      <w:tr>
        <w:trPr>
          <w:trHeight w:val="216"/>
        </w:trPr>
        <w:tc>
          <w:tcPr>
            <w:tcW w:w="1600" w:type="dxa"/>
            <w:vAlign w:val="bottom"/>
          </w:tcPr>
          <w:p>
            <w:pPr>
              <w:spacing w:after="0"/>
              <w:rPr>
                <w:sz w:val="18"/>
                <w:szCs w:val="18"/>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probability of finding a block on the BTC Blockchain. Mining pools administer regular payouts to mitigate the risk of</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Miners operating for a prolonged period of time without finding a block.</w:t>
            </w:r>
          </w:p>
        </w:tc>
      </w:tr>
      <w:tr>
        <w:trPr>
          <w:trHeight w:val="34"/>
        </w:trPr>
        <w:tc>
          <w:tcPr>
            <w:tcW w:w="1600" w:type="dxa"/>
            <w:vAlign w:val="bottom"/>
            <w:tcBorders>
              <w:bottom w:val="single" w:sz="8" w:color="auto"/>
            </w:tcBorders>
          </w:tcPr>
          <w:p>
            <w:pPr>
              <w:spacing w:after="0"/>
              <w:rPr>
                <w:sz w:val="2"/>
                <w:szCs w:val="2"/>
                <w:color w:val="auto"/>
              </w:rPr>
            </w:pPr>
          </w:p>
        </w:tc>
        <w:tc>
          <w:tcPr>
            <w:tcW w:w="9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439"/>
        </w:trPr>
        <w:tc>
          <w:tcPr>
            <w:tcW w:w="16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600" w:type="dxa"/>
            <w:vAlign w:val="bottom"/>
          </w:tcPr>
          <w:p>
            <w:pPr>
              <w:spacing w:after="0"/>
              <w:rPr>
                <w:sz w:val="21"/>
                <w:szCs w:val="21"/>
                <w:color w:val="auto"/>
              </w:rPr>
            </w:pPr>
          </w:p>
        </w:tc>
        <w:tc>
          <w:tcPr>
            <w:tcW w:w="9200" w:type="dxa"/>
            <w:vAlign w:val="bottom"/>
            <w:tcBorders>
              <w:right w:val="single" w:sz="8" w:color="auto"/>
            </w:tcBorders>
          </w:tcPr>
          <w:p>
            <w:pPr>
              <w:ind w:left="896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 protocol</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automatically adjusts Network Difficulty by changing the target every 2,016 blocks hashed based on the time it took for the</w:t>
            </w:r>
          </w:p>
        </w:tc>
      </w:tr>
      <w:tr>
        <w:trPr>
          <w:trHeight w:val="216"/>
        </w:trPr>
        <w:tc>
          <w:tcPr>
            <w:tcW w:w="1780" w:type="dxa"/>
            <w:vAlign w:val="bottom"/>
          </w:tcPr>
          <w:p>
            <w:pPr>
              <w:spacing w:after="0"/>
              <w:rPr>
                <w:sz w:val="18"/>
                <w:szCs w:val="18"/>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computing power used in Bitcoin Mining to solve the previous 2,016 blocks such that the average time to solve each</w:t>
            </w:r>
          </w:p>
        </w:tc>
      </w:tr>
      <w:tr>
        <w:trPr>
          <w:trHeight w:val="234"/>
        </w:trPr>
        <w:tc>
          <w:tcPr>
            <w:tcW w:w="1780" w:type="dxa"/>
            <w:vAlign w:val="bottom"/>
          </w:tcPr>
          <w:p>
            <w:pPr>
              <w:spacing w:after="0"/>
              <w:rPr>
                <w:sz w:val="20"/>
                <w:szCs w:val="20"/>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block is ten minutes.</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Petahash</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One quadrillion (1,000,000,000,000,000) hashes per second or one thousand Terahash.</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5"/>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780" w:type="dxa"/>
            <w:vAlign w:val="bottom"/>
          </w:tcPr>
          <w:p>
            <w:pPr>
              <w:spacing w:after="0"/>
              <w:rPr>
                <w:sz w:val="20"/>
                <w:szCs w:val="20"/>
                <w:color w:val="auto"/>
              </w:rPr>
            </w:pP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Synthetic HODL is the use of financial instruments to create BTC-equivalent exposure.</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Terahash</w:t>
            </w:r>
          </w:p>
        </w:tc>
        <w:tc>
          <w:tcPr>
            <w:tcW w:w="94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One trillion (1,000,000,000,000) hashes per second.</w:t>
            </w:r>
          </w:p>
        </w:tc>
      </w:tr>
      <w:tr>
        <w:trPr>
          <w:trHeight w:val="34"/>
        </w:trPr>
        <w:tc>
          <w:tcPr>
            <w:tcW w:w="1780" w:type="dxa"/>
            <w:vAlign w:val="bottom"/>
            <w:tcBorders>
              <w:bottom w:val="single" w:sz="8" w:color="auto"/>
            </w:tcBorders>
          </w:tcPr>
          <w:p>
            <w:pPr>
              <w:spacing w:after="0"/>
              <w:rPr>
                <w:sz w:val="2"/>
                <w:szCs w:val="2"/>
                <w:color w:val="auto"/>
              </w:rPr>
            </w:pPr>
          </w:p>
        </w:tc>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439"/>
        </w:trPr>
        <w:tc>
          <w:tcPr>
            <w:tcW w:w="178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9020" w:type="dxa"/>
            <w:vAlign w:val="bottom"/>
            <w:tcBorders>
              <w:right w:val="single" w:sz="8" w:color="auto"/>
            </w:tcBorders>
          </w:tcPr>
          <w:p>
            <w:pPr>
              <w:ind w:left="8780"/>
              <w:spacing w:after="0"/>
              <w:rPr>
                <w:sz w:val="20"/>
                <w:szCs w:val="20"/>
                <w:color w:val="auto"/>
              </w:rPr>
            </w:pPr>
            <w:r>
              <w:rPr>
                <w:rFonts w:ascii="Times New Roman" w:cs="Times New Roman" w:eastAsia="Times New Roman" w:hAnsi="Times New Roman"/>
                <w:sz w:val="18"/>
                <w:szCs w:val="18"/>
                <w:color w:val="auto"/>
              </w:rPr>
              <w:t>89</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r>
    </w:tbl>
    <w:p>
      <w:pPr>
        <w:sectPr>
          <w:pgSz w:w="11900" w:h="16838" w:orient="portrait"/>
          <w:cols w:equalWidth="0" w:num="1">
            <w:col w:w="11240"/>
          </w:cols>
          <w:pgMar w:left="320" w:top="266"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Geoffrey Morphy, certify that:</w:t>
      </w:r>
    </w:p>
    <w:p>
      <w:pPr>
        <w:spacing w:after="0" w:line="225" w:lineRule="exact"/>
        <w:rPr>
          <w:sz w:val="20"/>
          <w:szCs w:val="20"/>
          <w:color w:val="auto"/>
        </w:rPr>
      </w:pPr>
    </w:p>
    <w:p>
      <w:pPr>
        <w:ind w:left="660" w:hanging="328"/>
        <w:spacing w:after="0"/>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Bitfarms Ltd. (the “issuer”);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7, 2024</w:t>
      </w:r>
      <w:r>
        <w:rPr>
          <w:sz w:val="20"/>
          <w:szCs w:val="20"/>
          <w:color w:val="auto"/>
        </w:rPr>
        <w:tab/>
      </w:r>
      <w:r>
        <w:rPr>
          <w:rFonts w:ascii="Times New Roman" w:cs="Times New Roman" w:eastAsia="Times New Roman" w:hAnsi="Times New Roman"/>
          <w:sz w:val="17"/>
          <w:szCs w:val="17"/>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17"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Lucas, certify that:</w:t>
      </w:r>
    </w:p>
    <w:p>
      <w:pPr>
        <w:spacing w:after="0" w:line="225" w:lineRule="exact"/>
        <w:rPr>
          <w:sz w:val="20"/>
          <w:szCs w:val="20"/>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Bitfarms Ltd. (the “issuer”);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82"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7, 2024</w:t>
      </w:r>
      <w:r>
        <w:rPr>
          <w:sz w:val="20"/>
          <w:szCs w:val="20"/>
          <w:color w:val="auto"/>
        </w:rPr>
        <w:tab/>
      </w:r>
      <w:r>
        <w:rPr>
          <w:rFonts w:ascii="Times New Roman" w:cs="Times New Roman" w:eastAsia="Times New Roman" w:hAnsi="Times New Roman"/>
          <w:sz w:val="17"/>
          <w:szCs w:val="17"/>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 for the period ended December 31, 2023, as filed with the Securities and Exchange Commission on the date hereof (the “Report”), I, L. Geoffrey Morphy, Chief Executive Officer of the Company, certify, pursuant to 18 U.S.C.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Bitfarms Ltd. (the “Company”) on Form 40-F for the period ended December 31, 2023, as filed with the Securities and Exchange Commission on the date hereof (the “Report”), I, Jeffrey Lucas, Chief Financial Officer of the Company, certify, pursuant to 18 U.S.C. §1350, as adopted pursuant to Section 906 of the Sarbanes-Oxley Act of 2002, that, to my knowledge:</w:t>
      </w:r>
    </w:p>
    <w:p>
      <w:pPr>
        <w:spacing w:after="0" w:line="176" w:lineRule="exact"/>
        <w:rPr>
          <w:sz w:val="20"/>
          <w:szCs w:val="20"/>
          <w:color w:val="auto"/>
        </w:rPr>
      </w:pPr>
    </w:p>
    <w:p>
      <w:pPr>
        <w:ind w:left="980" w:hanging="324"/>
        <w:spacing w:after="0"/>
        <w:tabs>
          <w:tab w:leader="none" w:pos="9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74395" cy="660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743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Annual Report on Form 40-F for the year ended December 31, 2023 of Bitfarms Ltd. of our report dated March 6, 2024, relating to the consolidated financial statements, which appears in Exhibit 99.2 incorporated by reference in this Annual Report on Form 40-F.</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us under the heading “Interests of Experts”, which appears in the Annual Information Form filed as Exhibit 99.1 to this Annual Report on Form 40-F.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Tower, 18 York Street, Suite 2500, Toronto, Ontario, Canada M5J 0B2</w:t>
      </w:r>
    </w:p>
    <w:p>
      <w:pPr>
        <w:spacing w:after="0" w:line="9" w:lineRule="exact"/>
        <w:rPr>
          <w:sz w:val="20"/>
          <w:szCs w:val="20"/>
          <w:color w:val="auto"/>
        </w:rPr>
      </w:pPr>
    </w:p>
    <w:p>
      <w:pPr>
        <w:ind w:right="4240" w:firstLine="8"/>
        <w:spacing w:after="0" w:line="555" w:lineRule="auto"/>
        <w:tabs>
          <w:tab w:leader="none" w:pos="196"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+1 416 863 1133, F: +1 416 365 8215, ca_toronto_18_york_fax@pwc.com, www.pwc.com/ca “PwC” refers to PricewaterhouseCoopers LLP, an Ontario limited liability partnership.</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lvl w:ilvl="1">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1"/>
      <w:numFmt w:val="decimal"/>
      <w:start w:val="104"/>
    </w:lvl>
  </w:abstractNum>
  <w:abstractNum w:abstractNumId="5">
    <w:nsid w:val="75E0858A"/>
    <w:multiLevelType w:val="hybridMultilevel"/>
    <w:lvl w:ilvl="0">
      <w:lvlJc w:val="left"/>
      <w:lvlText w:val="%1."/>
      <w:numFmt w:val="lowerLetter"/>
      <w:start w:val="1"/>
    </w:lvl>
    <w:lvl w:ilvl="1">
      <w:lvlJc w:val="left"/>
      <w:lvlText w:val="(%2)"/>
      <w:numFmt w:val="lowerRoman"/>
      <w:start w:val="2"/>
    </w:lvl>
  </w:abstractNum>
  <w:abstractNum w:abstractNumId="6">
    <w:nsid w:val="57A61A29"/>
    <w:multiLevelType w:val="hybridMultilevel"/>
    <w:lvl w:ilvl="0">
      <w:lvlJc w:val="left"/>
      <w:lvlText w:val="%1."/>
      <w:numFmt w:val="lowerLetter"/>
      <w:start w:val="7"/>
    </w:lvl>
  </w:abstractNum>
  <w:abstractNum w:abstractNumId="7">
    <w:nsid w:val="5399C654"/>
    <w:multiLevelType w:val="hybridMultilevel"/>
    <w:lvl w:ilvl="0">
      <w:lvlJc w:val="left"/>
      <w:lvlText w:val="%1."/>
      <w:numFmt w:val="lowerLetter"/>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1"/>
      <w:numFmt w:val="upperLetter"/>
      <w:start w:val="1"/>
    </w:lvl>
    <w:lvl w:ilvl="1">
      <w:lvlJc w:val="left"/>
      <w:lvlText w:val="●"/>
      <w:numFmt w:val="bullet"/>
      <w:start w:val="1"/>
    </w:lvl>
  </w:abstractNum>
  <w:abstractNum w:abstractNumId="10">
    <w:nsid w:val="B37E80A"/>
    <w:multiLevelType w:val="hybridMultilevel"/>
    <w:lvl w:ilvl="0">
      <w:lvlJc w:val="left"/>
      <w:lvlText w:val="%1."/>
      <w:numFmt w:val="upperLetter"/>
      <w:start w:val="1"/>
    </w:lvl>
    <w:lvl w:ilvl="1">
      <w:lvlJc w:val="left"/>
      <w:lvlText w:val="●"/>
      <w:numFmt w:val="bullet"/>
      <w:start w:val="1"/>
    </w:lvl>
  </w:abstractNum>
  <w:abstractNum w:abstractNumId="11">
    <w:nsid w:val="2157F6BC"/>
    <w:multiLevelType w:val="hybridMultilevel"/>
    <w:lvl w:ilvl="0">
      <w:lvlJc w:val="left"/>
      <w:lvlText w:val="%1"/>
      <w:numFmt w:val="upperLetter"/>
      <w:start w:val="1"/>
    </w:lvl>
    <w:lvl w:ilvl="1">
      <w:lvlJc w:val="left"/>
      <w:lvlText w:val="●"/>
      <w:numFmt w:val="bullet"/>
      <w:start w:val="1"/>
    </w:lvl>
  </w:abstractNum>
  <w:abstractNum w:abstractNumId="12">
    <w:nsid w:val="704E1DD5"/>
    <w:multiLevelType w:val="hybridMultilevel"/>
    <w:lvl w:ilvl="0">
      <w:lvlJc w:val="left"/>
      <w:lvlText w:val="%1."/>
      <w:numFmt w:val="decimal"/>
      <w:start w:val="4"/>
    </w:lvl>
  </w:abstractNum>
  <w:abstractNum w:abstractNumId="13">
    <w:nsid w:val="57D2F10E"/>
    <w:multiLevelType w:val="hybridMultilevel"/>
    <w:lvl w:ilvl="0">
      <w:lvlJc w:val="left"/>
      <w:lvlText w:val="(%1)"/>
      <w:numFmt w:val="lowerRoman"/>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lvl w:ilvl="1">
      <w:lvlJc w:val="left"/>
      <w:lvlText w:val="(%2)"/>
      <w:numFmt w:val="decimal"/>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1)"/>
      <w:numFmt w:val="decimal"/>
      <w:start w:val="1"/>
    </w:lvl>
  </w:abstractNum>
  <w:abstractNum w:abstractNumId="23">
    <w:nsid w:val="2A31B62D"/>
    <w:multiLevelType w:val="hybridMultilevel"/>
    <w:lvl w:ilvl="0">
      <w:lvlJc w:val="left"/>
      <w:lvlText w:val="(%1)"/>
      <w:numFmt w:val="lowerLetter"/>
      <w:start w:val="1"/>
    </w:lvl>
  </w:abstractNum>
  <w:abstractNum w:abstractNumId="24">
    <w:nsid w:val="1849C29B"/>
    <w:multiLevelType w:val="hybridMultilevel"/>
    <w:lvl w:ilvl="0">
      <w:lvlJc w:val="left"/>
      <w:lvlText w:val="(%1)"/>
      <w:numFmt w:val="lowerLetter"/>
      <w:start w:val="1"/>
    </w:lvl>
  </w:abstractNum>
  <w:abstractNum w:abstractNumId="25">
    <w:nsid w:val="7DFF9D09"/>
    <w:multiLevelType w:val="hybridMultilevel"/>
    <w:lvl w:ilvl="0">
      <w:lvlJc w:val="left"/>
      <w:lvlText w:val="(%1)"/>
      <w:numFmt w:val="lowerLetter"/>
      <w:start w:val="3"/>
    </w:lvl>
    <w:lvl w:ilvl="1">
      <w:lvlJc w:val="left"/>
      <w:lvlText w:val="(%2)"/>
      <w:numFmt w:val="lowerRoman"/>
      <w:start w:val="1"/>
    </w:lvl>
  </w:abstractNum>
  <w:abstractNum w:abstractNumId="26">
    <w:nsid w:val="754342"/>
    <w:multiLevelType w:val="hybridMultilevel"/>
    <w:lvl w:ilvl="0">
      <w:lvlJc w:val="left"/>
      <w:lvlText w:val="%1."/>
      <w:numFmt w:val="decimal"/>
      <w:start w:val="10"/>
    </w:lvl>
  </w:abstractNum>
  <w:abstractNum w:abstractNumId="27">
    <w:nsid w:val="69E7F3E5"/>
    <w:multiLevelType w:val="hybridMultilevel"/>
    <w:lvl w:ilvl="0">
      <w:lvlJc w:val="left"/>
      <w:lvlText w:val="%1."/>
      <w:numFmt w:val="decimal"/>
      <w:start w:val="1"/>
    </w:lvl>
  </w:abstractNum>
  <w:abstractNum w:abstractNumId="28">
    <w:nsid w:val="2A6DE806"/>
    <w:multiLevelType w:val="hybridMultilevel"/>
    <w:lvl w:ilvl="0">
      <w:lvlJc w:val="left"/>
      <w:lvlText w:val="%1."/>
      <w:numFmt w:val="decimal"/>
      <w:start w:val="2"/>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1)"/>
      <w:numFmt w:val="decimal"/>
      <w:start w:val="1"/>
    </w:lvl>
  </w:abstractNum>
  <w:abstractNum w:abstractNumId="31">
    <w:nsid w:val="7AB49DAF"/>
    <w:multiLevelType w:val="hybridMultilevel"/>
    <w:lvl w:ilvl="0">
      <w:lvlJc w:val="left"/>
      <w:lvlText w:val="%1."/>
      <w:numFmt w:val="decimal"/>
      <w:start w:val="15"/>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1."/>
      <w:numFmt w:val="decimal"/>
      <w:start w:val="15"/>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1."/>
      <w:numFmt w:val="decimal"/>
      <w:start w:val="15"/>
    </w:lvl>
  </w:abstractNum>
  <w:abstractNum w:abstractNumId="36">
    <w:nsid w:val="57C7D42D"/>
    <w:multiLevelType w:val="hybridMultilevel"/>
    <w:lvl w:ilvl="0">
      <w:lvlJc w:val="left"/>
      <w:lvlText w:val="%1."/>
      <w:numFmt w:val="decimal"/>
      <w:start w:val="1"/>
    </w:lvl>
  </w:abstractNum>
  <w:abstractNum w:abstractNumId="37">
    <w:nsid w:val="312167AD"/>
    <w:multiLevelType w:val="hybridMultilevel"/>
    <w:lvl w:ilvl="0">
      <w:lvlJc w:val="left"/>
      <w:lvlText w:val="%1."/>
      <w:numFmt w:val="decimal"/>
      <w:start w:val="1"/>
    </w:lvl>
    <w:lvl w:ilvl="1">
      <w:lvlJc w:val="left"/>
      <w:lvlText w:val="%2)"/>
      <w:numFmt w:val="lowerLetter"/>
      <w:start w:val="1"/>
    </w:lvl>
  </w:abstractNum>
  <w:abstractNum w:abstractNumId="38">
    <w:nsid w:val="631B64D4"/>
    <w:multiLevelType w:val="hybridMultilevel"/>
    <w:lvl w:ilvl="0">
      <w:lvlJc w:val="left"/>
      <w:lvlText w:val="%1."/>
      <w:numFmt w:val="decimal"/>
      <w:start w:val="2"/>
    </w:lvl>
  </w:abstractNum>
  <w:abstractNum w:abstractNumId="39">
    <w:nsid w:val="78B5E776"/>
    <w:multiLevelType w:val="hybridMultilevel"/>
    <w:lvl w:ilvl="0">
      <w:lvlJc w:val="left"/>
      <w:lvlText w:val="%1)"/>
      <w:numFmt w:val="lowerLetter"/>
      <w:start w:val="1"/>
    </w:lvl>
  </w:abstractNum>
  <w:abstractNum w:abstractNumId="40">
    <w:nsid w:val="75486E47"/>
    <w:multiLevelType w:val="hybridMultilevel"/>
    <w:lvl w:ilvl="0">
      <w:lvlJc w:val="left"/>
      <w:lvlText w:val="%1."/>
      <w:numFmt w:val="decimal"/>
      <w:start w:val="3"/>
    </w:lvl>
    <w:lvl w:ilvl="1">
      <w:lvlJc w:val="left"/>
      <w:lvlText w:val="%2)"/>
      <w:numFmt w:val="lowerLetter"/>
      <w:start w:val="1"/>
    </w:lvl>
  </w:abstractNum>
  <w:abstractNum w:abstractNumId="41">
    <w:nsid w:val="6E534CDE"/>
    <w:multiLevelType w:val="hybridMultilevel"/>
    <w:lvl w:ilvl="0">
      <w:lvlJc w:val="left"/>
      <w:lvlText w:val="%1)"/>
      <w:numFmt w:val="lowerLetter"/>
      <w:start w:val="2"/>
    </w:lvl>
  </w:abstractNum>
  <w:abstractNum w:abstractNumId="42">
    <w:nsid w:val="1A0DDE32"/>
    <w:multiLevelType w:val="hybridMultilevel"/>
    <w:lvl w:ilvl="0">
      <w:lvlJc w:val="left"/>
      <w:lvlText w:val="%1)"/>
      <w:numFmt w:val="lowerLetter"/>
      <w:start w:val="1"/>
    </w:lvl>
  </w:abstractNum>
  <w:abstractNum w:abstractNumId="43">
    <w:nsid w:val="65968C1C"/>
    <w:multiLevelType w:val="hybridMultilevel"/>
    <w:lvl w:ilvl="0">
      <w:lvlJc w:val="left"/>
      <w:lvlText w:val="%1)"/>
      <w:numFmt w:val="lowerLetter"/>
      <w:start w:val="8"/>
    </w:lvl>
  </w:abstractNum>
  <w:abstractNum w:abstractNumId="44">
    <w:nsid w:val="46263DEC"/>
    <w:multiLevelType w:val="hybridMultilevel"/>
    <w:lvl w:ilvl="0">
      <w:lvlJc w:val="left"/>
      <w:lvlText w:val="%1)"/>
      <w:numFmt w:val="lowerLetter"/>
      <w:start w:val="1"/>
    </w:lvl>
  </w:abstractNum>
  <w:abstractNum w:abstractNumId="45">
    <w:nsid w:val="260D8C4A"/>
    <w:multiLevelType w:val="hybridMultilevel"/>
    <w:lvl w:ilvl="0">
      <w:lvlJc w:val="left"/>
      <w:lvlText w:val="%1)"/>
      <w:numFmt w:val="lowerLetter"/>
      <w:start w:val="1"/>
    </w:lvl>
  </w:abstractNum>
  <w:abstractNum w:abstractNumId="46">
    <w:nsid w:val="73D4D3C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7">
    <w:nsid w:val="746F2E30"/>
    <w:multiLevelType w:val="hybridMultilevel"/>
    <w:lvl w:ilvl="0">
      <w:lvlJc w:val="left"/>
      <w:lvlText w:val="%1)"/>
      <w:numFmt w:val="lowerLetter"/>
      <w:start w:val="5"/>
    </w:lvl>
  </w:abstractNum>
  <w:abstractNum w:abstractNumId="48">
    <w:nsid w:val="6FDE8AF6"/>
    <w:multiLevelType w:val="hybridMultilevel"/>
    <w:lvl w:ilvl="0">
      <w:lvlJc w:val="left"/>
      <w:lvlText w:val="%1."/>
      <w:numFmt w:val="decimal"/>
      <w:start w:val="7"/>
    </w:lvl>
  </w:abstractNum>
  <w:abstractNum w:abstractNumId="49">
    <w:nsid w:val="3FC32E20"/>
    <w:multiLevelType w:val="hybridMultilevel"/>
    <w:lvl w:ilvl="0">
      <w:lvlJc w:val="left"/>
      <w:lvlText w:val="%1."/>
      <w:numFmt w:val="decimal"/>
      <w:start w:val="8"/>
    </w:lvl>
  </w:abstractNum>
  <w:abstractNum w:abstractNumId="50">
    <w:nsid w:val="49C0E823"/>
    <w:multiLevelType w:val="hybridMultilevel"/>
    <w:lvl w:ilvl="0">
      <w:lvlJc w:val="left"/>
      <w:lvlText w:val="%1."/>
      <w:numFmt w:val="decimal"/>
      <w:start w:val="9"/>
    </w:lvl>
  </w:abstractNum>
  <w:abstractNum w:abstractNumId="51">
    <w:nsid w:val="14D53685"/>
    <w:multiLevelType w:val="hybridMultilevel"/>
    <w:lvl w:ilvl="0">
      <w:lvlJc w:val="left"/>
      <w:lvlText w:val="%1."/>
      <w:numFmt w:val="lowerLetter"/>
      <w:start w:val="1"/>
    </w:lvl>
  </w:abstractNum>
  <w:abstractNum w:abstractNumId="52">
    <w:nsid w:val="230F856C"/>
    <w:multiLevelType w:val="hybridMultilevel"/>
    <w:lvl w:ilvl="0">
      <w:lvlJc w:val="left"/>
      <w:lvlText w:val="%1."/>
      <w:numFmt w:val="lowerLetter"/>
      <w:start w:val="2"/>
    </w:lvl>
  </w:abstractNum>
  <w:abstractNum w:abstractNumId="53">
    <w:nsid w:val="6EAA85FB"/>
    <w:multiLevelType w:val="hybridMultilevel"/>
    <w:lvl w:ilvl="0">
      <w:lvlJc w:val="left"/>
      <w:lvlText w:val="%1."/>
      <w:numFmt w:val="lowerLetter"/>
      <w:start w:val="2"/>
    </w:lvl>
  </w:abstractNum>
  <w:abstractNum w:abstractNumId="54">
    <w:nsid w:val="3F06ECB2"/>
    <w:multiLevelType w:val="hybridMultilevel"/>
    <w:lvl w:ilvl="0">
      <w:lvlJc w:val="left"/>
      <w:lvlText w:val="%1."/>
      <w:numFmt w:val="lowerRoman"/>
      <w:start w:val="1"/>
    </w:lvl>
  </w:abstractNum>
  <w:abstractNum w:abstractNumId="55">
    <w:nsid w:val="3B594807"/>
    <w:multiLevelType w:val="hybridMultilevel"/>
    <w:lvl w:ilvl="0">
      <w:lvlJc w:val="left"/>
      <w:lvlText w:val="%1."/>
      <w:numFmt w:val="lowerRoman"/>
      <w:start w:val="2"/>
    </w:lvl>
  </w:abstractNum>
  <w:abstractNum w:abstractNumId="56">
    <w:nsid w:val="6CAA2304"/>
    <w:multiLevelType w:val="hybridMultilevel"/>
    <w:lvl w:ilvl="0">
      <w:lvlJc w:val="left"/>
      <w:lvlText w:val="%1."/>
      <w:numFmt w:val="lowerLetter"/>
      <w:start w:val="2"/>
    </w:lvl>
  </w:abstractNum>
  <w:abstractNum w:abstractNumId="57">
    <w:nsid w:val="3F7C2FF4"/>
    <w:multiLevelType w:val="hybridMultilevel"/>
    <w:lvl w:ilvl="0">
      <w:lvlJc w:val="left"/>
      <w:lvlText w:val="%1."/>
      <w:numFmt w:val="lowerRoman"/>
      <w:start w:val="1"/>
    </w:lvl>
  </w:abstractNum>
  <w:abstractNum w:abstractNumId="58">
    <w:nsid w:val="25413BEC"/>
    <w:multiLevelType w:val="hybridMultilevel"/>
    <w:lvl w:ilvl="0">
      <w:lvlJc w:val="left"/>
      <w:lvlText w:val="(%1)"/>
      <w:numFmt w:val="lowerRoman"/>
      <w:start w:val="1"/>
    </w:lvl>
  </w:abstractNum>
  <w:abstractNum w:abstractNumId="59">
    <w:nsid w:val="17180B0B"/>
    <w:multiLevelType w:val="hybridMultilevel"/>
    <w:lvl w:ilvl="0">
      <w:lvlJc w:val="left"/>
      <w:lvlText w:val="%1."/>
      <w:numFmt w:val="lowerLetter"/>
      <w:start w:val="2"/>
    </w:lvl>
  </w:abstractNum>
  <w:abstractNum w:abstractNumId="60">
    <w:nsid w:val="579328B9"/>
    <w:multiLevelType w:val="hybridMultilevel"/>
    <w:lvl w:ilvl="0">
      <w:lvlJc w:val="left"/>
      <w:lvlText w:val="%1."/>
      <w:numFmt w:val="lowerRoman"/>
      <w:start w:val="1"/>
    </w:lvl>
  </w:abstractNum>
  <w:abstractNum w:abstractNumId="61">
    <w:nsid w:val="5D205E20"/>
    <w:multiLevelType w:val="hybridMultilevel"/>
    <w:lvl w:ilvl="0">
      <w:lvlJc w:val="left"/>
      <w:lvlText w:val="%1."/>
      <w:numFmt w:val="lowerRoman"/>
      <w:start w:val="2"/>
    </w:lvl>
  </w:abstractNum>
  <w:abstractNum w:abstractNumId="62">
    <w:nsid w:val="11CCA8BA"/>
    <w:multiLevelType w:val="hybridMultilevel"/>
    <w:lvl w:ilvl="0">
      <w:lvlJc w:val="left"/>
      <w:lvlText w:val="%1."/>
      <w:numFmt w:val="lowerLetter"/>
      <w:start w:val="2"/>
    </w:lvl>
  </w:abstractNum>
  <w:abstractNum w:abstractNumId="63">
    <w:nsid w:val="4D32AB86"/>
    <w:multiLevelType w:val="hybridMultilevel"/>
    <w:lvl w:ilvl="0">
      <w:lvlJc w:val="left"/>
      <w:lvlText w:val="%1."/>
      <w:numFmt w:val="lowerRoman"/>
      <w:start w:val="1"/>
    </w:lvl>
  </w:abstractNum>
  <w:abstractNum w:abstractNumId="64">
    <w:nsid w:val="3F07ACC3"/>
    <w:multiLevelType w:val="hybridMultilevel"/>
    <w:lvl w:ilvl="0">
      <w:lvlJc w:val="left"/>
      <w:lvlText w:val="%1."/>
      <w:numFmt w:val="lowerRoman"/>
      <w:start w:val="2"/>
    </w:lvl>
  </w:abstractNum>
  <w:abstractNum w:abstractNumId="65">
    <w:nsid w:val="6B47F63E"/>
    <w:multiLevelType w:val="hybridMultilevel"/>
    <w:lvl w:ilvl="0">
      <w:lvlJc w:val="left"/>
      <w:lvlText w:val="%1."/>
      <w:numFmt w:val="lowerLetter"/>
      <w:start w:val="2"/>
    </w:lvl>
  </w:abstractNum>
  <w:abstractNum w:abstractNumId="66">
    <w:nsid w:val="5CB44A05"/>
    <w:multiLevelType w:val="hybridMultilevel"/>
    <w:lvl w:ilvl="0">
      <w:lvlJc w:val="left"/>
      <w:lvlText w:val="%1."/>
      <w:numFmt w:val="lowerRoman"/>
      <w:start w:val="1"/>
    </w:lvl>
  </w:abstractNum>
  <w:abstractNum w:abstractNumId="67">
    <w:nsid w:val="16CF80F1"/>
    <w:multiLevelType w:val="hybridMultilevel"/>
    <w:lvl w:ilvl="0">
      <w:lvlJc w:val="left"/>
      <w:lvlText w:val="%1."/>
      <w:numFmt w:val="lowerLetter"/>
      <w:start w:val="2"/>
    </w:lvl>
  </w:abstractNum>
  <w:abstractNum w:abstractNumId="68">
    <w:nsid w:val="1C695DEC"/>
    <w:multiLevelType w:val="hybridMultilevel"/>
    <w:lvl w:ilvl="0">
      <w:lvlJc w:val="left"/>
      <w:lvlText w:val="%1."/>
      <w:numFmt w:val="lowerRoman"/>
      <w:start w:val="2"/>
    </w:lvl>
  </w:abstractNum>
  <w:abstractNum w:abstractNumId="69">
    <w:nsid w:val="3FCFAED9"/>
    <w:multiLevelType w:val="hybridMultilevel"/>
    <w:lvl w:ilvl="0">
      <w:lvlJc w:val="left"/>
      <w:lvlText w:val="%1."/>
      <w:numFmt w:val="lowerRoman"/>
      <w:start w:val="3"/>
    </w:lvl>
  </w:abstractNum>
  <w:abstractNum w:abstractNumId="70">
    <w:nsid w:val="F856867"/>
    <w:multiLevelType w:val="hybridMultilevel"/>
    <w:lvl w:ilvl="0">
      <w:lvlJc w:val="left"/>
      <w:lvlText w:val="%1."/>
      <w:numFmt w:val="lowerLetter"/>
      <w:start w:val="2"/>
    </w:lvl>
  </w:abstractNum>
  <w:abstractNum w:abstractNumId="71">
    <w:nsid w:val="11B1CC33"/>
    <w:multiLevelType w:val="hybridMultilevel"/>
    <w:lvl w:ilvl="0">
      <w:lvlJc w:val="left"/>
      <w:lvlText w:val="%1."/>
      <w:numFmt w:val="lowerLetter"/>
      <w:start w:val="2"/>
    </w:lvl>
  </w:abstractNum>
  <w:abstractNum w:abstractNumId="72">
    <w:nsid w:val="2E22FBB7"/>
    <w:multiLevelType w:val="hybridMultilevel"/>
    <w:lvl w:ilvl="0">
      <w:lvlJc w:val="left"/>
      <w:lvlText w:val="%1."/>
      <w:numFmt w:val="lowerRoman"/>
      <w:start w:val="1"/>
    </w:lvl>
  </w:abstractNum>
  <w:abstractNum w:abstractNumId="73">
    <w:nsid w:val="29934699"/>
    <w:multiLevelType w:val="hybridMultilevel"/>
    <w:lvl w:ilvl="0">
      <w:lvlJc w:val="left"/>
      <w:lvlText w:val="%1."/>
      <w:numFmt w:val="lowerRoman"/>
      <w:start w:val="2"/>
    </w:lvl>
  </w:abstractNum>
  <w:abstractNum w:abstractNumId="74">
    <w:nsid w:val="77485850"/>
    <w:multiLevelType w:val="hybridMultilevel"/>
    <w:lvl w:ilvl="0">
      <w:lvlJc w:val="left"/>
      <w:lvlText w:val="%1."/>
      <w:numFmt w:val="lowerLetter"/>
      <w:start w:val="2"/>
    </w:lvl>
  </w:abstractNum>
  <w:abstractNum w:abstractNumId="75">
    <w:nsid w:val="744939A3"/>
    <w:multiLevelType w:val="hybridMultilevel"/>
    <w:lvl w:ilvl="0">
      <w:lvlJc w:val="left"/>
      <w:lvlText w:val="%1."/>
      <w:numFmt w:val="lowerRoman"/>
      <w:start w:val="1"/>
    </w:lvl>
  </w:abstractNum>
  <w:abstractNum w:abstractNumId="76">
    <w:nsid w:val="4FA0D2E3"/>
    <w:multiLevelType w:val="hybridMultilevel"/>
    <w:lvl w:ilvl="0">
      <w:lvlJc w:val="left"/>
      <w:lvlText w:val="%1."/>
      <w:numFmt w:val="lowerLetter"/>
      <w:start w:val="2"/>
    </w:lvl>
  </w:abstractNum>
  <w:abstractNum w:abstractNumId="77">
    <w:nsid w:val="6B1D2C14"/>
    <w:multiLevelType w:val="hybridMultilevel"/>
    <w:lvl w:ilvl="0">
      <w:lvlJc w:val="left"/>
      <w:lvlText w:val="%1."/>
      <w:numFmt w:val="lowerRoman"/>
      <w:start w:val="2"/>
    </w:lvl>
  </w:abstractNum>
  <w:abstractNum w:abstractNumId="78">
    <w:nsid w:val="68B867D3"/>
    <w:multiLevelType w:val="hybridMultilevel"/>
    <w:lvl w:ilvl="0">
      <w:lvlJc w:val="left"/>
      <w:lvlText w:val="%1."/>
      <w:numFmt w:val="lowerRoman"/>
      <w:start w:val="3"/>
    </w:lvl>
  </w:abstractNum>
  <w:abstractNum w:abstractNumId="79">
    <w:nsid w:val="3F7F5DD9"/>
    <w:multiLevelType w:val="hybridMultilevel"/>
    <w:lvl w:ilvl="0">
      <w:lvlJc w:val="left"/>
      <w:lvlText w:val="%1."/>
      <w:numFmt w:val="lowerRoman"/>
      <w:start w:val="4"/>
    </w:lvl>
  </w:abstractNum>
  <w:abstractNum w:abstractNumId="80">
    <w:nsid w:val="2AE05A34"/>
    <w:multiLevelType w:val="hybridMultilevel"/>
    <w:lvl w:ilvl="0">
      <w:lvlJc w:val="left"/>
      <w:lvlText w:val="%1."/>
      <w:numFmt w:val="lowerRoman"/>
      <w:start w:val="5"/>
    </w:lvl>
  </w:abstractNum>
  <w:abstractNum w:abstractNumId="81">
    <w:nsid w:val="32794FF7"/>
    <w:multiLevelType w:val="hybridMultilevel"/>
    <w:lvl w:ilvl="0">
      <w:lvlJc w:val="left"/>
      <w:lvlText w:val="%1."/>
      <w:numFmt w:val="lowerLetter"/>
      <w:start w:val="2"/>
    </w:lvl>
  </w:abstractNum>
  <w:abstractNum w:abstractNumId="82">
    <w:nsid w:val="5454945E"/>
    <w:multiLevelType w:val="hybridMultilevel"/>
    <w:lvl w:ilvl="0">
      <w:lvlJc w:val="left"/>
      <w:lvlText w:val="%1."/>
      <w:numFmt w:val="lowerLetter"/>
      <w:start w:val="2"/>
    </w:lvl>
  </w:abstractNum>
  <w:abstractNum w:abstractNumId="83">
    <w:nsid w:val="4DEFDFA0"/>
    <w:multiLevelType w:val="hybridMultilevel"/>
    <w:lvl w:ilvl="0">
      <w:lvlJc w:val="left"/>
      <w:lvlText w:val="%1."/>
      <w:numFmt w:val="lowerLetter"/>
      <w:start w:val="3"/>
    </w:lvl>
  </w:abstractNum>
  <w:abstractNum w:abstractNumId="84">
    <w:nsid w:val="2123D5F2"/>
    <w:multiLevelType w:val="hybridMultilevel"/>
    <w:lvl w:ilvl="0">
      <w:lvlJc w:val="left"/>
      <w:lvlText w:val="%1."/>
      <w:numFmt w:val="lowerLetter"/>
      <w:start w:val="4"/>
    </w:lvl>
  </w:abstractNum>
  <w:abstractNum w:abstractNumId="85">
    <w:nsid w:val="135B8110"/>
    <w:multiLevelType w:val="hybridMultilevel"/>
    <w:lvl w:ilvl="0">
      <w:lvlJc w:val="left"/>
      <w:lvlText w:val="%1."/>
      <w:numFmt w:val="lowerLetter"/>
      <w:start w:val="5"/>
    </w:lvl>
  </w:abstractNum>
  <w:abstractNum w:abstractNumId="86">
    <w:nsid w:val="94927A8"/>
    <w:multiLevelType w:val="hybridMultilevel"/>
    <w:lvl w:ilvl="0">
      <w:lvlJc w:val="left"/>
      <w:lvlText w:val="%1."/>
      <w:numFmt w:val="lowerLetter"/>
      <w:start w:val="5"/>
    </w:lvl>
  </w:abstractNum>
  <w:abstractNum w:abstractNumId="87">
    <w:nsid w:val="DCDF8F6"/>
    <w:multiLevelType w:val="hybridMultilevel"/>
    <w:lvl w:ilvl="0">
      <w:lvlJc w:val="left"/>
      <w:lvlText w:val="%1."/>
      <w:numFmt w:val="lowerLetter"/>
      <w:start w:val="1"/>
    </w:lvl>
  </w:abstractNum>
  <w:abstractNum w:abstractNumId="88">
    <w:nsid w:val="52D7B105"/>
    <w:multiLevelType w:val="hybridMultilevel"/>
    <w:lvl w:ilvl="0">
      <w:lvlJc w:val="left"/>
      <w:lvlText w:val="%1."/>
      <w:numFmt w:val="lowerLetter"/>
      <w:start w:val="2"/>
    </w:lvl>
  </w:abstractNum>
  <w:abstractNum w:abstractNumId="89">
    <w:nsid w:val="2E8A6394"/>
    <w:multiLevelType w:val="hybridMultilevel"/>
    <w:lvl w:ilvl="0">
      <w:lvlJc w:val="left"/>
      <w:lvlText w:val="%1."/>
      <w:numFmt w:val="lowerLetter"/>
      <w:start w:val="2"/>
    </w:lvl>
  </w:abstractNum>
  <w:abstractNum w:abstractNumId="90">
    <w:nsid w:val="24E60401"/>
    <w:multiLevelType w:val="hybridMultilevel"/>
    <w:lvl w:ilvl="0">
      <w:lvlJc w:val="left"/>
      <w:lvlText w:val="%1."/>
      <w:numFmt w:val="lowerLetter"/>
      <w:start w:val="2"/>
    </w:lvl>
  </w:abstractNum>
  <w:abstractNum w:abstractNumId="91">
    <w:nsid w:val="2A6AD9BE"/>
    <w:multiLevelType w:val="hybridMultilevel"/>
    <w:lvl w:ilvl="0">
      <w:lvlJc w:val="left"/>
      <w:lvlText w:val="%1."/>
      <w:numFmt w:val="lowerLetter"/>
      <w:start w:val="1"/>
    </w:lvl>
  </w:abstractNum>
  <w:abstractNum w:abstractNumId="92">
    <w:nsid w:val="BAAC1B4"/>
    <w:multiLevelType w:val="hybridMultilevel"/>
    <w:lvl w:ilvl="0">
      <w:lvlJc w:val="left"/>
      <w:lvlText w:val="%1."/>
      <w:numFmt w:val="lowerLetter"/>
      <w:start w:val="2"/>
    </w:lvl>
  </w:abstractNum>
  <w:abstractNum w:abstractNumId="93">
    <w:nsid w:val="36B2ACBC"/>
    <w:multiLevelType w:val="hybridMultilevel"/>
    <w:lvl w:ilvl="0">
      <w:lvlJc w:val="left"/>
      <w:lvlText w:val="*"/>
      <w:numFmt w:val="bullet"/>
      <w:start w:val="1"/>
    </w:lvl>
  </w:abstractNum>
  <w:abstractNum w:abstractNumId="94">
    <w:nsid w:val="779D8544"/>
    <w:multiLevelType w:val="hybridMultilevel"/>
    <w:lvl w:ilvl="0">
      <w:lvlJc w:val="left"/>
      <w:lvlText w:val="**"/>
      <w:numFmt w:val="bullet"/>
      <w:start w:val="1"/>
    </w:lvl>
  </w:abstractNum>
  <w:abstractNum w:abstractNumId="95">
    <w:nsid w:val="4AB26E78"/>
    <w:multiLevelType w:val="hybridMultilevel"/>
    <w:lvl w:ilvl="0">
      <w:lvlJc w:val="left"/>
      <w:lvlText w:val="***"/>
      <w:numFmt w:val="bullet"/>
      <w:start w:val="1"/>
    </w:lvl>
  </w:abstractNum>
  <w:abstractNum w:abstractNumId="96">
    <w:nsid w:val="21FAA2FA"/>
    <w:multiLevelType w:val="hybridMultilevel"/>
    <w:lvl w:ilvl="0">
      <w:lvlJc w:val="left"/>
      <w:lvlText w:val="%1."/>
      <w:numFmt w:val="lowerLetter"/>
      <w:start w:val="1"/>
    </w:lvl>
  </w:abstractNum>
  <w:abstractNum w:abstractNumId="97">
    <w:nsid w:val="5451CF49"/>
    <w:multiLevelType w:val="hybridMultilevel"/>
    <w:lvl w:ilvl="0">
      <w:lvlJc w:val="left"/>
      <w:lvlText w:val="%1."/>
      <w:numFmt w:val="lowerRoman"/>
      <w:start w:val="1"/>
    </w:lvl>
  </w:abstractNum>
  <w:abstractNum w:abstractNumId="98">
    <w:nsid w:val="6181EF69"/>
    <w:multiLevelType w:val="hybridMultilevel"/>
    <w:lvl w:ilvl="0">
      <w:lvlJc w:val="left"/>
      <w:lvlText w:val="%1."/>
      <w:numFmt w:val="lowerLetter"/>
      <w:start w:val="2"/>
    </w:lvl>
  </w:abstractNum>
  <w:abstractNum w:abstractNumId="99">
    <w:nsid w:val="3E6400E6"/>
    <w:multiLevelType w:val="hybridMultilevel"/>
    <w:lvl w:ilvl="0">
      <w:lvlJc w:val="left"/>
      <w:lvlText w:val="%1."/>
      <w:numFmt w:val="lowerLetter"/>
      <w:start w:val="3"/>
    </w:lvl>
  </w:abstractNum>
  <w:abstractNum w:abstractNumId="100">
    <w:nsid w:val="14217E23"/>
    <w:multiLevelType w:val="hybridMultilevel"/>
    <w:lvl w:ilvl="0">
      <w:lvlJc w:val="left"/>
      <w:lvlText w:val="%1."/>
      <w:numFmt w:val="lowerLetter"/>
      <w:start w:val="4"/>
    </w:lvl>
  </w:abstractNum>
  <w:abstractNum w:abstractNumId="101">
    <w:nsid w:val="710757D0"/>
    <w:multiLevelType w:val="hybridMultilevel"/>
    <w:lvl w:ilvl="0">
      <w:lvlJc w:val="left"/>
      <w:lvlText w:val="%1."/>
      <w:numFmt w:val="lowerRoman"/>
      <w:start w:val="2"/>
    </w:lvl>
  </w:abstractNum>
  <w:abstractNum w:abstractNumId="102">
    <w:nsid w:val="5015CD1A"/>
    <w:multiLevelType w:val="hybridMultilevel"/>
    <w:lvl w:ilvl="0">
      <w:lvlJc w:val="left"/>
      <w:lvlText w:val="%1."/>
      <w:numFmt w:val="lowerLetter"/>
      <w:start w:val="1"/>
    </w:lvl>
  </w:abstractNum>
  <w:abstractNum w:abstractNumId="103">
    <w:nsid w:val="424479DA"/>
    <w:multiLevelType w:val="hybridMultilevel"/>
    <w:lvl w:ilvl="0">
      <w:lvlJc w:val="left"/>
      <w:lvlText w:val="%1."/>
      <w:numFmt w:val="lowerRoman"/>
      <w:start w:val="1"/>
    </w:lvl>
  </w:abstractNum>
  <w:abstractNum w:abstractNumId="104">
    <w:nsid w:val="1A9A9E69"/>
    <w:multiLevelType w:val="hybridMultilevel"/>
    <w:lvl w:ilvl="0">
      <w:lvlJc w:val="left"/>
      <w:lvlText w:val="%1."/>
      <w:numFmt w:val="lowerRoman"/>
      <w:start w:val="2"/>
    </w:lvl>
  </w:abstractNum>
  <w:abstractNum w:abstractNumId="105">
    <w:nsid w:val="475E256A"/>
    <w:multiLevelType w:val="hybridMultilevel"/>
    <w:lvl w:ilvl="0">
      <w:lvlJc w:val="left"/>
      <w:lvlText w:val="%1."/>
      <w:numFmt w:val="lowerRoman"/>
      <w:start w:val="1"/>
    </w:lvl>
  </w:abstractNum>
  <w:abstractNum w:abstractNumId="106">
    <w:nsid w:val="368DB37E"/>
    <w:multiLevelType w:val="hybridMultilevel"/>
    <w:lvl w:ilvl="0">
      <w:lvlJc w:val="left"/>
      <w:lvlText w:val="%1."/>
      <w:numFmt w:val="lowerRoman"/>
      <w:start w:val="2"/>
    </w:lvl>
  </w:abstractNum>
  <w:abstractNum w:abstractNumId="107">
    <w:nsid w:val="6A3B714C"/>
    <w:multiLevelType w:val="hybridMultilevel"/>
    <w:lvl w:ilvl="0">
      <w:lvlJc w:val="left"/>
      <w:lvlText w:val="%1."/>
      <w:numFmt w:val="lowerRoman"/>
      <w:start w:val="1"/>
    </w:lvl>
  </w:abstractNum>
  <w:abstractNum w:abstractNumId="108">
    <w:nsid w:val="327B517E"/>
    <w:multiLevelType w:val="hybridMultilevel"/>
    <w:lvl w:ilvl="0">
      <w:lvlJc w:val="left"/>
      <w:lvlText w:val="%1."/>
      <w:numFmt w:val="lowerRoman"/>
      <w:start w:val="2"/>
    </w:lvl>
  </w:abstractNum>
  <w:abstractNum w:abstractNumId="109">
    <w:nsid w:val="1F461B51"/>
    <w:multiLevelType w:val="hybridMultilevel"/>
    <w:lvl w:ilvl="0">
      <w:lvlJc w:val="left"/>
      <w:lvlText w:val="%1."/>
      <w:numFmt w:val="lowerLetter"/>
      <w:start w:val="2"/>
    </w:lvl>
  </w:abstractNum>
  <w:abstractNum w:abstractNumId="110">
    <w:nsid w:val="29BACF25"/>
    <w:multiLevelType w:val="hybridMultilevel"/>
    <w:lvl w:ilvl="0">
      <w:lvlJc w:val="left"/>
      <w:lvlText w:val="%1."/>
      <w:numFmt w:val="lowerRoman"/>
      <w:start w:val="1"/>
    </w:lvl>
  </w:abstractNum>
  <w:abstractNum w:abstractNumId="111">
    <w:nsid w:val="5D5BABB3"/>
    <w:multiLevelType w:val="hybridMultilevel"/>
    <w:lvl w:ilvl="0">
      <w:lvlJc w:val="left"/>
      <w:lvlText w:val="%1."/>
      <w:numFmt w:val="lowerRoman"/>
      <w:start w:val="2"/>
    </w:lvl>
  </w:abstractNum>
  <w:abstractNum w:abstractNumId="112">
    <w:nsid w:val="51BF6B48"/>
    <w:multiLevelType w:val="hybridMultilevel"/>
    <w:lvl w:ilvl="0">
      <w:lvlJc w:val="left"/>
      <w:lvlText w:val="%1."/>
      <w:numFmt w:val="lowerRoman"/>
      <w:start w:val="3"/>
    </w:lvl>
  </w:abstractNum>
  <w:abstractNum w:abstractNumId="113">
    <w:nsid w:val="7E0F6384"/>
    <w:multiLevelType w:val="hybridMultilevel"/>
    <w:lvl w:ilvl="0">
      <w:lvlJc w:val="left"/>
      <w:lvlText w:val="%1."/>
      <w:numFmt w:val="lowerRoman"/>
      <w:start w:val="4"/>
    </w:lvl>
  </w:abstractNum>
  <w:abstractNum w:abstractNumId="114">
    <w:nsid w:val="2B4B8B53"/>
    <w:multiLevelType w:val="hybridMultilevel"/>
    <w:lvl w:ilvl="0">
      <w:lvlJc w:val="left"/>
      <w:lvlText w:val="*"/>
      <w:numFmt w:val="bullet"/>
      <w:start w:val="1"/>
    </w:lvl>
  </w:abstractNum>
  <w:abstractNum w:abstractNumId="115">
    <w:nsid w:val="72E3413A"/>
    <w:multiLevelType w:val="hybridMultilevel"/>
    <w:lvl w:ilvl="0">
      <w:lvlJc w:val="left"/>
      <w:lvlText w:val="*"/>
      <w:numFmt w:val="bullet"/>
      <w:start w:val="1"/>
    </w:lvl>
  </w:abstractNum>
  <w:abstractNum w:abstractNumId="116">
    <w:nsid w:val="116AE494"/>
    <w:multiLevelType w:val="hybridMultilevel"/>
    <w:lvl w:ilvl="0">
      <w:lvlJc w:val="left"/>
      <w:lvlText w:val="*"/>
      <w:numFmt w:val="bullet"/>
      <w:start w:val="1"/>
    </w:lvl>
  </w:abstractNum>
  <w:abstractNum w:abstractNumId="117">
    <w:nsid w:val="3494B2FB"/>
    <w:multiLevelType w:val="hybridMultilevel"/>
    <w:lvl w:ilvl="0">
      <w:lvlJc w:val="left"/>
      <w:lvlText w:val="%1."/>
      <w:numFmt w:val="lowerLetter"/>
      <w:start w:val="1"/>
    </w:lvl>
  </w:abstractNum>
  <w:abstractNum w:abstractNumId="118">
    <w:nsid w:val="B13A31"/>
    <w:multiLevelType w:val="hybridMultilevel"/>
    <w:lvl w:ilvl="0">
      <w:lvlJc w:val="left"/>
      <w:lvlText w:val="%1."/>
      <w:numFmt w:val="lowerLetter"/>
      <w:start w:val="2"/>
    </w:lvl>
  </w:abstractNum>
  <w:abstractNum w:abstractNumId="119">
    <w:nsid w:val="64429599"/>
    <w:multiLevelType w:val="hybridMultilevel"/>
    <w:lvl w:ilvl="0">
      <w:lvlJc w:val="left"/>
      <w:lvlText w:val="%1."/>
      <w:numFmt w:val="lowerLetter"/>
      <w:start w:val="3"/>
    </w:lvl>
  </w:abstractNum>
  <w:abstractNum w:abstractNumId="120">
    <w:nsid w:val="631F1690"/>
    <w:multiLevelType w:val="hybridMultilevel"/>
    <w:lvl w:ilvl="0">
      <w:lvlJc w:val="left"/>
      <w:lvlText w:val="%1."/>
      <w:numFmt w:val="lowerLetter"/>
      <w:start w:val="1"/>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lowerLetter"/>
      <w:start w:val="1"/>
    </w:lvl>
  </w:abstractNum>
  <w:abstractNum w:abstractNumId="123">
    <w:nsid w:val="6EC9D844"/>
    <w:multiLevelType w:val="hybridMultilevel"/>
    <w:lvl w:ilvl="0">
      <w:lvlJc w:val="left"/>
      <w:lvlText w:val="%1."/>
      <w:numFmt w:val="lowerLetter"/>
      <w:start w:val="2"/>
    </w:lvl>
  </w:abstractNum>
  <w:abstractNum w:abstractNumId="124">
    <w:nsid w:val="5C49EAEE"/>
    <w:multiLevelType w:val="hybridMultilevel"/>
    <w:lvl w:ilvl="0">
      <w:lvlJc w:val="left"/>
      <w:lvlText w:val="%1."/>
      <w:numFmt w:val="lowerRoman"/>
      <w:start w:val="1"/>
    </w:lvl>
  </w:abstractNum>
  <w:abstractNum w:abstractNumId="125">
    <w:nsid w:val="64AF49B"/>
    <w:multiLevelType w:val="hybridMultilevel"/>
    <w:lvl w:ilvl="0">
      <w:lvlJc w:val="left"/>
      <w:lvlText w:val="%1."/>
      <w:numFmt w:val="lowerRoman"/>
      <w:start w:val="2"/>
    </w:lvl>
  </w:abstractNum>
  <w:abstractNum w:abstractNumId="126">
    <w:nsid w:val="397C46BC"/>
    <w:multiLevelType w:val="hybridMultilevel"/>
    <w:lvl w:ilvl="0">
      <w:lvlJc w:val="left"/>
      <w:lvlText w:val="%1."/>
      <w:numFmt w:val="lowerRoman"/>
      <w:start w:val="3"/>
    </w:lvl>
  </w:abstractNum>
  <w:abstractNum w:abstractNumId="127">
    <w:nsid w:val="7E448DE9"/>
    <w:multiLevelType w:val="hybridMultilevel"/>
    <w:lvl w:ilvl="0">
      <w:lvlJc w:val="left"/>
      <w:lvlText w:val="%1."/>
      <w:numFmt w:val="lowerRoman"/>
      <w:start w:val="4"/>
    </w:lvl>
  </w:abstractNum>
  <w:abstractNum w:abstractNumId="128">
    <w:nsid w:val="5A9CC3E5"/>
    <w:multiLevelType w:val="hybridMultilevel"/>
    <w:lvl w:ilvl="0">
      <w:lvlJc w:val="left"/>
      <w:lvlText w:val="*"/>
      <w:numFmt w:val="bullet"/>
      <w:start w:val="1"/>
    </w:lvl>
  </w:abstractNum>
  <w:abstractNum w:abstractNumId="129">
    <w:nsid w:val="1AFE3625"/>
    <w:multiLevelType w:val="hybridMultilevel"/>
    <w:lvl w:ilvl="0">
      <w:lvlJc w:val="left"/>
      <w:lvlText w:val="%1."/>
      <w:numFmt w:val="lowerRoman"/>
      <w:start w:val="4"/>
    </w:lvl>
  </w:abstractNum>
  <w:abstractNum w:abstractNumId="130">
    <w:nsid w:val="3CA88ECF"/>
    <w:multiLevelType w:val="hybridMultilevel"/>
    <w:lvl w:ilvl="0">
      <w:lvlJc w:val="left"/>
      <w:lvlText w:val="%1."/>
      <w:numFmt w:val="lowerLetter"/>
      <w:start w:val="1"/>
    </w:lvl>
  </w:abstractNum>
  <w:abstractNum w:abstractNumId="131">
    <w:nsid w:val="6EBE4208"/>
    <w:multiLevelType w:val="hybridMultilevel"/>
    <w:lvl w:ilvl="0">
      <w:lvlJc w:val="left"/>
      <w:lvlText w:val="%1."/>
      <w:numFmt w:val="lowerLetter"/>
      <w:start w:val="1"/>
    </w:lvl>
  </w:abstractNum>
  <w:abstractNum w:abstractNumId="132">
    <w:nsid w:val="C058DF5"/>
    <w:multiLevelType w:val="hybridMultilevel"/>
    <w:lvl w:ilvl="0">
      <w:lvlJc w:val="left"/>
      <w:lvlText w:val="%1."/>
      <w:numFmt w:val="lowerLetter"/>
      <w:start w:val="2"/>
    </w:lvl>
  </w:abstractNum>
  <w:abstractNum w:abstractNumId="133">
    <w:nsid w:val="CBE5BE9"/>
    <w:multiLevelType w:val="hybridMultilevel"/>
    <w:lvl w:ilvl="0">
      <w:lvlJc w:val="left"/>
      <w:lvlText w:val="%1."/>
      <w:numFmt w:val="lowerLetter"/>
      <w:start w:val="2"/>
    </w:lvl>
  </w:abstractNum>
  <w:abstractNum w:abstractNumId="134">
    <w:nsid w:val="3102BBE2"/>
    <w:multiLevelType w:val="hybridMultilevel"/>
    <w:lvl w:ilvl="0">
      <w:lvlJc w:val="left"/>
      <w:lvlText w:val="%1."/>
      <w:numFmt w:val="lowerLetter"/>
      <w:start w:val="2"/>
    </w:lvl>
  </w:abstractNum>
  <w:abstractNum w:abstractNumId="135">
    <w:nsid w:val="26A02C5E"/>
    <w:multiLevelType w:val="hybridMultilevel"/>
    <w:lvl w:ilvl="0">
      <w:lvlJc w:val="left"/>
      <w:lvlText w:val="%1."/>
      <w:numFmt w:val="lowerLetter"/>
      <w:start w:val="1"/>
    </w:lvl>
  </w:abstractNum>
  <w:abstractNum w:abstractNumId="136">
    <w:nsid w:val="541C8153"/>
    <w:multiLevelType w:val="hybridMultilevel"/>
    <w:lvl w:ilvl="0">
      <w:lvlJc w:val="left"/>
      <w:lvlText w:val="%1."/>
      <w:numFmt w:val="lowerLetter"/>
      <w:start w:val="2"/>
    </w:lvl>
  </w:abstractNum>
  <w:abstractNum w:abstractNumId="137">
    <w:nsid w:val="67906F60"/>
    <w:multiLevelType w:val="hybridMultilevel"/>
    <w:lvl w:ilvl="0">
      <w:lvlJc w:val="left"/>
      <w:lvlText w:val="%1."/>
      <w:numFmt w:val="lowerLetter"/>
      <w:start w:val="3"/>
    </w:lvl>
  </w:abstractNum>
  <w:abstractNum w:abstractNumId="138">
    <w:nsid w:val="10DB9DAA"/>
    <w:multiLevelType w:val="hybridMultilevel"/>
    <w:lvl w:ilvl="0">
      <w:lvlJc w:val="left"/>
      <w:lvlText w:val="1"/>
      <w:numFmt w:val="bullet"/>
      <w:start w:val="1"/>
    </w:lvl>
  </w:abstractNum>
  <w:abstractNum w:abstractNumId="139">
    <w:nsid w:val="697D2D2"/>
    <w:multiLevelType w:val="hybridMultilevel"/>
    <w:lvl w:ilvl="0">
      <w:lvlJc w:val="left"/>
      <w:lvlText w:val="2"/>
      <w:numFmt w:val="bullet"/>
      <w:start w:val="1"/>
    </w:lvl>
  </w:abstractNum>
  <w:abstractNum w:abstractNumId="140">
    <w:nsid w:val="6D68AB2"/>
    <w:multiLevelType w:val="hybridMultilevel"/>
    <w:lvl w:ilvl="0">
      <w:lvlJc w:val="left"/>
      <w:lvlText w:val="1"/>
      <w:numFmt w:val="bullet"/>
      <w:start w:val="1"/>
    </w:lvl>
  </w:abstractNum>
  <w:abstractNum w:abstractNumId="141">
    <w:nsid w:val="3A966CD0"/>
    <w:multiLevelType w:val="hybridMultilevel"/>
    <w:lvl w:ilvl="0">
      <w:lvlJc w:val="left"/>
      <w:lvlText w:val="2"/>
      <w:numFmt w:val="bullet"/>
      <w:start w:val="1"/>
    </w:lvl>
  </w:abstractNum>
  <w:abstractNum w:abstractNumId="142">
    <w:nsid w:val="63F37E85"/>
    <w:multiLevelType w:val="hybridMultilevel"/>
    <w:lvl w:ilvl="0">
      <w:lvlJc w:val="left"/>
      <w:lvlText w:val="3"/>
      <w:numFmt w:val="bullet"/>
      <w:start w:val="1"/>
    </w:lvl>
  </w:abstractNum>
  <w:abstractNum w:abstractNumId="143">
    <w:nsid w:val="5895F5FA"/>
    <w:multiLevelType w:val="hybridMultilevel"/>
    <w:lvl w:ilvl="0">
      <w:lvlJc w:val="left"/>
      <w:lvlText w:val="●"/>
      <w:numFmt w:val="bullet"/>
      <w:start w:val="1"/>
    </w:lvl>
  </w:abstractNum>
  <w:abstractNum w:abstractNumId="144">
    <w:nsid w:val="38A5D054"/>
    <w:multiLevelType w:val="hybridMultilevel"/>
    <w:lvl w:ilvl="0">
      <w:lvlJc w:val="left"/>
      <w:lvlText w:val="●"/>
      <w:numFmt w:val="bullet"/>
      <w:start w:val="1"/>
    </w:lvl>
  </w:abstractNum>
  <w:abstractNum w:abstractNumId="145">
    <w:nsid w:val="F3F09D8"/>
    <w:multiLevelType w:val="hybridMultilevel"/>
    <w:lvl w:ilvl="0">
      <w:lvlJc w:val="left"/>
      <w:lvlText w:val="●"/>
      <w:numFmt w:val="bullet"/>
      <w:start w:val="1"/>
    </w:lvl>
  </w:abstractNum>
  <w:abstractNum w:abstractNumId="146">
    <w:nsid w:val="4B793735"/>
    <w:multiLevelType w:val="hybridMultilevel"/>
    <w:lvl w:ilvl="0">
      <w:lvlJc w:val="left"/>
      <w:lvlText w:val="●"/>
      <w:numFmt w:val="bullet"/>
      <w:start w:val="1"/>
    </w:lvl>
  </w:abstractNum>
  <w:abstractNum w:abstractNumId="147">
    <w:nsid w:val="4A10B4E8"/>
    <w:multiLevelType w:val="hybridMultilevel"/>
    <w:lvl w:ilvl="0">
      <w:lvlJc w:val="left"/>
      <w:lvlText w:val="●"/>
      <w:numFmt w:val="bullet"/>
      <w:start w:val="1"/>
    </w:lvl>
  </w:abstractNum>
  <w:abstractNum w:abstractNumId="148">
    <w:nsid w:val="43D3BCD4"/>
    <w:multiLevelType w:val="hybridMultilevel"/>
    <w:lvl w:ilvl="0">
      <w:lvlJc w:val="left"/>
      <w:lvlText w:val="●"/>
      <w:numFmt w:val="bullet"/>
      <w:start w:val="1"/>
    </w:lvl>
  </w:abstractNum>
  <w:abstractNum w:abstractNumId="149">
    <w:nsid w:val="4C2A7166"/>
    <w:multiLevelType w:val="hybridMultilevel"/>
    <w:lvl w:ilvl="0">
      <w:lvlJc w:val="left"/>
      <w:lvlText w:val="●"/>
      <w:numFmt w:val="bullet"/>
      <w:start w:val="1"/>
    </w:lvl>
  </w:abstractNum>
  <w:abstractNum w:abstractNumId="150">
    <w:nsid w:val="2E534A82"/>
    <w:multiLevelType w:val="hybridMultilevel"/>
    <w:lvl w:ilvl="0">
      <w:lvlJc w:val="left"/>
      <w:lvlText w:val="1"/>
      <w:numFmt w:val="bullet"/>
      <w:start w:val="1"/>
    </w:lvl>
  </w:abstractNum>
  <w:abstractNum w:abstractNumId="151">
    <w:nsid w:val="26F2D364"/>
    <w:multiLevelType w:val="hybridMultilevel"/>
    <w:lvl w:ilvl="0">
      <w:lvlJc w:val="left"/>
      <w:lvlText w:val="2"/>
      <w:numFmt w:val="bullet"/>
      <w:start w:val="1"/>
    </w:lvl>
  </w:abstractNum>
  <w:abstractNum w:abstractNumId="152">
    <w:nsid w:val="71C1AF98"/>
    <w:multiLevelType w:val="hybridMultilevel"/>
    <w:lvl w:ilvl="0">
      <w:lvlJc w:val="left"/>
      <w:lvlText w:val="●"/>
      <w:numFmt w:val="bullet"/>
      <w:start w:val="1"/>
    </w:lvl>
  </w:abstractNum>
  <w:abstractNum w:abstractNumId="153">
    <w:nsid w:val="3D00B9D9"/>
    <w:multiLevelType w:val="hybridMultilevel"/>
    <w:lvl w:ilvl="0">
      <w:lvlJc w:val="left"/>
      <w:lvlText w:val="●"/>
      <w:numFmt w:val="bullet"/>
      <w:start w:val="1"/>
    </w:lvl>
  </w:abstractNum>
  <w:abstractNum w:abstractNumId="154">
    <w:nsid w:val="15BCABA8"/>
    <w:multiLevelType w:val="hybridMultilevel"/>
    <w:lvl w:ilvl="0">
      <w:lvlJc w:val="left"/>
      <w:lvlText w:val="●"/>
      <w:numFmt w:val="bullet"/>
      <w:start w:val="1"/>
    </w:lvl>
  </w:abstractNum>
  <w:abstractNum w:abstractNumId="155">
    <w:nsid w:val="4E0B9A87"/>
    <w:multiLevelType w:val="hybridMultilevel"/>
    <w:lvl w:ilvl="0">
      <w:lvlJc w:val="left"/>
      <w:lvlText w:val="●"/>
      <w:numFmt w:val="bullet"/>
      <w:start w:val="1"/>
    </w:lvl>
  </w:abstractNum>
  <w:abstractNum w:abstractNumId="156">
    <w:nsid w:val="434BAE75"/>
    <w:multiLevelType w:val="hybridMultilevel"/>
    <w:lvl w:ilvl="0">
      <w:lvlJc w:val="left"/>
      <w:lvlText w:val="1"/>
      <w:numFmt w:val="bullet"/>
      <w:start w:val="1"/>
    </w:lvl>
  </w:abstractNum>
  <w:abstractNum w:abstractNumId="157">
    <w:nsid w:val="4F38F265"/>
    <w:multiLevelType w:val="hybridMultilevel"/>
    <w:lvl w:ilvl="0">
      <w:lvlJc w:val="left"/>
      <w:lvlText w:val="2"/>
      <w:numFmt w:val="bullet"/>
      <w:start w:val="1"/>
    </w:lvl>
  </w:abstractNum>
  <w:abstractNum w:abstractNumId="158">
    <w:nsid w:val="4C502870"/>
    <w:multiLevelType w:val="hybridMultilevel"/>
    <w:lvl w:ilvl="0">
      <w:lvlJc w:val="left"/>
      <w:lvlText w:val="●"/>
      <w:numFmt w:val="bullet"/>
      <w:start w:val="1"/>
    </w:lvl>
  </w:abstractNum>
  <w:abstractNum w:abstractNumId="159">
    <w:nsid w:val="1DE8725A"/>
    <w:multiLevelType w:val="hybridMultilevel"/>
    <w:lvl w:ilvl="0">
      <w:lvlJc w:val="left"/>
      <w:lvlText w:val="●"/>
      <w:numFmt w:val="bullet"/>
      <w:start w:val="1"/>
    </w:lvl>
  </w:abstractNum>
  <w:abstractNum w:abstractNumId="160">
    <w:nsid w:val="6A37288A"/>
    <w:multiLevelType w:val="hybridMultilevel"/>
    <w:lvl w:ilvl="0">
      <w:lvlJc w:val="left"/>
      <w:lvlText w:val="●"/>
      <w:numFmt w:val="bullet"/>
      <w:start w:val="1"/>
    </w:lvl>
  </w:abstractNum>
  <w:abstractNum w:abstractNumId="161">
    <w:nsid w:val="8F8B73F"/>
    <w:multiLevelType w:val="hybridMultilevel"/>
    <w:lvl w:ilvl="0">
      <w:lvlJc w:val="left"/>
      <w:lvlText w:val="%1."/>
      <w:numFmt w:val="decimal"/>
      <w:start w:val="6"/>
    </w:lvl>
  </w:abstractNum>
  <w:abstractNum w:abstractNumId="162">
    <w:nsid w:val="CA6B462"/>
    <w:multiLevelType w:val="hybridMultilevel"/>
    <w:lvl w:ilvl="0">
      <w:lvlJc w:val="left"/>
      <w:lvlText w:val="*"/>
      <w:numFmt w:val="bullet"/>
      <w:start w:val="1"/>
    </w:lvl>
  </w:abstractNum>
  <w:abstractNum w:abstractNumId="163">
    <w:nsid w:val="763CB680"/>
    <w:multiLevelType w:val="hybridMultilevel"/>
    <w:lvl w:ilvl="0">
      <w:lvlJc w:val="left"/>
      <w:lvlText w:val="●"/>
      <w:numFmt w:val="bullet"/>
      <w:start w:val="1"/>
    </w:lvl>
  </w:abstractNum>
  <w:abstractNum w:abstractNumId="164">
    <w:nsid w:val="15B71329"/>
    <w:multiLevelType w:val="hybridMultilevel"/>
    <w:lvl w:ilvl="0">
      <w:lvlJc w:val="left"/>
      <w:lvlText w:val="●"/>
      <w:numFmt w:val="bullet"/>
      <w:start w:val="1"/>
    </w:lvl>
  </w:abstractNum>
  <w:abstractNum w:abstractNumId="165">
    <w:nsid w:val="3DA97044"/>
    <w:multiLevelType w:val="hybridMultilevel"/>
    <w:lvl w:ilvl="0">
      <w:lvlJc w:val="left"/>
      <w:lvlText w:val="●"/>
      <w:numFmt w:val="bullet"/>
      <w:start w:val="1"/>
    </w:lvl>
  </w:abstractNum>
  <w:abstractNum w:abstractNumId="166">
    <w:nsid w:val="1CDCE2DE"/>
    <w:multiLevelType w:val="hybridMultilevel"/>
    <w:lvl w:ilvl="0">
      <w:lvlJc w:val="left"/>
      <w:lvlText w:val="%1."/>
      <w:numFmt w:val="upperLetter"/>
      <w:start w:val="1"/>
    </w:lvl>
  </w:abstractNum>
  <w:abstractNum w:abstractNumId="167">
    <w:nsid w:val="69D3947C"/>
    <w:multiLevelType w:val="hybridMultilevel"/>
    <w:lvl w:ilvl="0">
      <w:lvlJc w:val="left"/>
      <w:lvlText w:val="%1."/>
      <w:numFmt w:val="upperLetter"/>
      <w:start w:val="1"/>
    </w:lvl>
  </w:abstractNum>
  <w:abstractNum w:abstractNumId="168">
    <w:nsid w:val="2539DFA5"/>
    <w:multiLevelType w:val="hybridMultilevel"/>
    <w:lvl w:ilvl="0">
      <w:lvlJc w:val="left"/>
      <w:lvlText w:val="%1."/>
      <w:numFmt w:val="upperLetter"/>
      <w:start w:val="1"/>
    </w:lvl>
  </w:abstractNum>
  <w:abstractNum w:abstractNumId="169">
    <w:nsid w:val="2DB88089"/>
    <w:multiLevelType w:val="hybridMultilevel"/>
    <w:lvl w:ilvl="0">
      <w:lvlJc w:val="left"/>
      <w:lvlText w:val="%1."/>
      <w:numFmt w:val="upperLetter"/>
      <w:start w:val="2"/>
    </w:lvl>
  </w:abstractNum>
  <w:abstractNum w:abstractNumId="170">
    <w:nsid w:val="706B674E"/>
    <w:multiLevelType w:val="hybridMultilevel"/>
    <w:lvl w:ilvl="0">
      <w:lvlJc w:val="left"/>
      <w:lvlText w:val="%1."/>
      <w:numFmt w:val="upperLetter"/>
      <w:start w:val="2"/>
    </w:lvl>
  </w:abstractNum>
  <w:abstractNum w:abstractNumId="171">
    <w:nsid w:val="2C106A57"/>
    <w:multiLevelType w:val="hybridMultilevel"/>
    <w:lvl w:ilvl="0">
      <w:lvlJc w:val="left"/>
      <w:lvlText w:val="%1."/>
      <w:numFmt w:val="upperLetter"/>
      <w:start w:val="3"/>
    </w:lvl>
  </w:abstractNum>
  <w:abstractNum w:abstractNumId="172">
    <w:nsid w:val="684EED59"/>
    <w:multiLevelType w:val="hybridMultilevel"/>
    <w:lvl w:ilvl="0">
      <w:lvlJc w:val="left"/>
      <w:lvlText w:val="%1."/>
      <w:numFmt w:val="upperLetter"/>
      <w:start w:val="4"/>
    </w:lvl>
  </w:abstractNum>
  <w:abstractNum w:abstractNumId="173">
    <w:nsid w:val="545EE5D3"/>
    <w:multiLevelType w:val="hybridMultilevel"/>
    <w:lvl w:ilvl="0">
      <w:lvlJc w:val="left"/>
      <w:lvlText w:val="%1."/>
      <w:numFmt w:val="decimal"/>
      <w:start w:val="8"/>
    </w:lvl>
  </w:abstractNum>
  <w:abstractNum w:abstractNumId="174">
    <w:nsid w:val="4A66051"/>
    <w:multiLevelType w:val="hybridMultilevel"/>
    <w:lvl w:ilvl="0">
      <w:lvlJc w:val="left"/>
      <w:lvlText w:val="1"/>
      <w:numFmt w:val="bullet"/>
      <w:start w:val="1"/>
    </w:lvl>
  </w:abstractNum>
  <w:abstractNum w:abstractNumId="175">
    <w:nsid w:val="20F4BDAD"/>
    <w:multiLevelType w:val="hybridMultilevel"/>
    <w:lvl w:ilvl="0">
      <w:lvlJc w:val="left"/>
      <w:lvlText w:val="2"/>
      <w:numFmt w:val="bullet"/>
      <w:start w:val="1"/>
    </w:lvl>
  </w:abstractNum>
  <w:abstractNum w:abstractNumId="176">
    <w:nsid w:val="639DEFAC"/>
    <w:multiLevelType w:val="hybridMultilevel"/>
    <w:lvl w:ilvl="0">
      <w:lvlJc w:val="left"/>
      <w:lvlText w:val="3"/>
      <w:numFmt w:val="bullet"/>
      <w:start w:val="1"/>
    </w:lvl>
  </w:abstractNum>
  <w:abstractNum w:abstractNumId="177">
    <w:nsid w:val="501F9786"/>
    <w:multiLevelType w:val="hybridMultilevel"/>
    <w:lvl w:ilvl="0">
      <w:lvlJc w:val="left"/>
      <w:lvlText w:val="%1."/>
      <w:numFmt w:val="upperLetter"/>
      <w:start w:val="1"/>
    </w:lvl>
  </w:abstractNum>
  <w:abstractNum w:abstractNumId="178">
    <w:nsid w:val="6B057295"/>
    <w:multiLevelType w:val="hybridMultilevel"/>
    <w:lvl w:ilvl="0">
      <w:lvlJc w:val="left"/>
      <w:lvlText w:val="%1."/>
      <w:numFmt w:val="upperLetter"/>
      <w:start w:val="1"/>
    </w:lvl>
  </w:abstractNum>
  <w:abstractNum w:abstractNumId="179">
    <w:nsid w:val="2771AC80"/>
    <w:multiLevelType w:val="hybridMultilevel"/>
    <w:lvl w:ilvl="0">
      <w:lvlJc w:val="left"/>
      <w:lvlText w:val="1"/>
      <w:numFmt w:val="bullet"/>
      <w:start w:val="1"/>
    </w:lvl>
  </w:abstractNum>
  <w:abstractNum w:abstractNumId="180">
    <w:nsid w:val="1C4A08EC"/>
    <w:multiLevelType w:val="hybridMultilevel"/>
    <w:lvl w:ilvl="0">
      <w:lvlJc w:val="left"/>
      <w:lvlText w:val="2"/>
      <w:numFmt w:val="bullet"/>
      <w:start w:val="1"/>
    </w:lvl>
  </w:abstractNum>
  <w:abstractNum w:abstractNumId="181">
    <w:nsid w:val="1958BD17"/>
    <w:multiLevelType w:val="hybridMultilevel"/>
    <w:lvl w:ilvl="0">
      <w:lvlJc w:val="left"/>
      <w:lvlText w:val="3"/>
      <w:numFmt w:val="bullet"/>
      <w:start w:val="1"/>
    </w:lvl>
  </w:abstractNum>
  <w:abstractNum w:abstractNumId="182">
    <w:nsid w:val="4E647FE4"/>
    <w:multiLevelType w:val="hybridMultilevel"/>
    <w:lvl w:ilvl="0">
      <w:lvlJc w:val="left"/>
      <w:lvlText w:val="%1."/>
      <w:numFmt w:val="upperLetter"/>
      <w:start w:val="1"/>
    </w:lvl>
  </w:abstractNum>
  <w:abstractNum w:abstractNumId="183">
    <w:nsid w:val="E0BB885"/>
    <w:multiLevelType w:val="hybridMultilevel"/>
    <w:lvl w:ilvl="0">
      <w:lvlJc w:val="left"/>
      <w:lvlText w:val="●"/>
      <w:numFmt w:val="bullet"/>
      <w:start w:val="1"/>
    </w:lvl>
  </w:abstractNum>
  <w:abstractNum w:abstractNumId="184">
    <w:nsid w:val="565976F1"/>
    <w:multiLevelType w:val="hybridMultilevel"/>
    <w:lvl w:ilvl="0">
      <w:lvlJc w:val="left"/>
      <w:lvlText w:val="●"/>
      <w:numFmt w:val="bullet"/>
      <w:start w:val="1"/>
    </w:lvl>
  </w:abstractNum>
  <w:abstractNum w:abstractNumId="185">
    <w:nsid w:val="64212B8C"/>
    <w:multiLevelType w:val="hybridMultilevel"/>
    <w:lvl w:ilvl="0">
      <w:lvlJc w:val="left"/>
      <w:lvlText w:val="%1."/>
      <w:numFmt w:val="upperLetter"/>
      <w:start w:val="3"/>
    </w:lvl>
  </w:abstractNum>
  <w:abstractNum w:abstractNumId="186">
    <w:nsid w:val="5C17530C"/>
    <w:multiLevelType w:val="hybridMultilevel"/>
    <w:lvl w:ilvl="0">
      <w:lvlJc w:val="left"/>
      <w:lvlText w:val="●"/>
      <w:numFmt w:val="bullet"/>
      <w:start w:val="1"/>
    </w:lvl>
  </w:abstractNum>
  <w:abstractNum w:abstractNumId="187">
    <w:nsid w:val="19A52566"/>
    <w:multiLevelType w:val="hybridMultilevel"/>
    <w:lvl w:ilvl="0">
      <w:lvlJc w:val="left"/>
      <w:lvlText w:val="●"/>
      <w:numFmt w:val="bullet"/>
      <w:start w:val="1"/>
    </w:lvl>
  </w:abstractNum>
  <w:abstractNum w:abstractNumId="188">
    <w:nsid w:val="335A1DF1"/>
    <w:multiLevelType w:val="hybridMultilevel"/>
    <w:lvl w:ilvl="0">
      <w:lvlJc w:val="left"/>
      <w:lvlText w:val="%1."/>
      <w:numFmt w:val="upperLetter"/>
      <w:start w:val="3"/>
    </w:lvl>
  </w:abstractNum>
  <w:abstractNum w:abstractNumId="189">
    <w:nsid w:val="28677B7C"/>
    <w:multiLevelType w:val="hybridMultilevel"/>
    <w:lvl w:ilvl="0">
      <w:lvlJc w:val="left"/>
      <w:lvlText w:val="●"/>
      <w:numFmt w:val="bullet"/>
      <w:start w:val="1"/>
    </w:lvl>
    <w:lvl w:ilvl="1">
      <w:lvlJc w:val="left"/>
      <w:lvlText w:val="◦"/>
      <w:numFmt w:val="bullet"/>
      <w:start w:val="1"/>
    </w:lvl>
  </w:abstractNum>
  <w:abstractNum w:abstractNumId="190">
    <w:nsid w:val="378D97C0"/>
    <w:multiLevelType w:val="hybridMultilevel"/>
    <w:lvl w:ilvl="0">
      <w:lvlJc w:val="left"/>
      <w:lvlText w:val="●"/>
      <w:numFmt w:val="bullet"/>
      <w:start w:val="1"/>
    </w:lvl>
  </w:abstractNum>
  <w:abstractNum w:abstractNumId="191">
    <w:nsid w:val="1D91467C"/>
    <w:multiLevelType w:val="hybridMultilevel"/>
    <w:lvl w:ilvl="0">
      <w:lvlJc w:val="left"/>
      <w:lvlText w:val="%1."/>
      <w:numFmt w:val="upperLetter"/>
      <w:start w:val="4"/>
    </w:lvl>
  </w:abstractNum>
  <w:abstractNum w:abstractNumId="192">
    <w:nsid w:val="316032BB"/>
    <w:multiLevelType w:val="hybridMultilevel"/>
    <w:lvl w:ilvl="0">
      <w:lvlJc w:val="left"/>
      <w:lvlText w:val="●"/>
      <w:numFmt w:val="bullet"/>
      <w:start w:val="1"/>
    </w:lvl>
  </w:abstractNum>
  <w:abstractNum w:abstractNumId="193">
    <w:nsid w:val="44344C22"/>
    <w:multiLevelType w:val="hybridMultilevel"/>
    <w:lvl w:ilvl="0">
      <w:lvlJc w:val="left"/>
      <w:lvlText w:val="1"/>
      <w:numFmt w:val="bullet"/>
      <w:start w:val="1"/>
    </w:lvl>
  </w:abstractNum>
  <w:abstractNum w:abstractNumId="194">
    <w:nsid w:val="13CDFCFC"/>
    <w:multiLevelType w:val="hybridMultilevel"/>
    <w:lvl w:ilvl="0">
      <w:lvlJc w:val="left"/>
      <w:lvlText w:val="%1."/>
      <w:numFmt w:val="upperLetter"/>
      <w:start w:val="4"/>
    </w:lvl>
  </w:abstractNum>
  <w:abstractNum w:abstractNumId="195">
    <w:nsid w:val="471745E4"/>
    <w:multiLevelType w:val="hybridMultilevel"/>
    <w:lvl w:ilvl="0">
      <w:lvlJc w:val="left"/>
      <w:lvlText w:val="●"/>
      <w:numFmt w:val="bullet"/>
      <w:start w:val="1"/>
    </w:lvl>
  </w:abstractNum>
  <w:abstractNum w:abstractNumId="196">
    <w:nsid w:val="1DDBC66"/>
    <w:multiLevelType w:val="hybridMultilevel"/>
    <w:lvl w:ilvl="0">
      <w:lvlJc w:val="left"/>
      <w:lvlText w:val="●"/>
      <w:numFmt w:val="bullet"/>
      <w:start w:val="1"/>
    </w:lvl>
  </w:abstractNum>
  <w:abstractNum w:abstractNumId="197">
    <w:nsid w:val="30AADFDA"/>
    <w:multiLevelType w:val="hybridMultilevel"/>
    <w:lvl w:ilvl="0">
      <w:lvlJc w:val="left"/>
      <w:lvlText w:val="●"/>
      <w:numFmt w:val="bullet"/>
      <w:start w:val="1"/>
    </w:lvl>
    <w:lvl w:ilvl="1">
      <w:lvlJc w:val="left"/>
      <w:lvlText w:val="◦"/>
      <w:numFmt w:val="bullet"/>
      <w:start w:val="1"/>
    </w:lvl>
  </w:abstractNum>
  <w:abstractNum w:abstractNumId="198">
    <w:nsid w:val="30EADA61"/>
    <w:multiLevelType w:val="hybridMultilevel"/>
    <w:lvl w:ilvl="0">
      <w:lvlJc w:val="left"/>
      <w:lvlText w:val="%1."/>
      <w:numFmt w:val="upperLetter"/>
      <w:start w:val="5"/>
    </w:lvl>
  </w:abstractNum>
  <w:abstractNum w:abstractNumId="199">
    <w:nsid w:val="27179C0B"/>
    <w:multiLevelType w:val="hybridMultilevel"/>
    <w:lvl w:ilvl="0">
      <w:lvlJc w:val="left"/>
      <w:lvlText w:val="%1."/>
      <w:numFmt w:val="upperLetter"/>
      <w:start w:val="5"/>
    </w:lvl>
  </w:abstractNum>
  <w:abstractNum w:abstractNumId="200">
    <w:nsid w:val="5E636063"/>
    <w:multiLevelType w:val="hybridMultilevel"/>
    <w:lvl w:ilvl="0">
      <w:lvlJc w:val="left"/>
      <w:lvlText w:val="-"/>
      <w:numFmt w:val="bullet"/>
      <w:start w:val="1"/>
    </w:lvl>
  </w:abstractNum>
  <w:abstractNum w:abstractNumId="201">
    <w:nsid w:val="215641AF"/>
    <w:multiLevelType w:val="hybridMultilevel"/>
    <w:lvl w:ilvl="0">
      <w:lvlJc w:val="left"/>
      <w:lvlText w:val="1"/>
      <w:numFmt w:val="bullet"/>
      <w:start w:val="1"/>
    </w:lvl>
  </w:abstractNum>
  <w:abstractNum w:abstractNumId="202">
    <w:nsid w:val="53280662"/>
    <w:multiLevelType w:val="hybridMultilevel"/>
    <w:lvl w:ilvl="0">
      <w:lvlJc w:val="left"/>
      <w:lvlText w:val="%1."/>
      <w:numFmt w:val="decimal"/>
      <w:start w:val="10"/>
    </w:lvl>
  </w:abstractNum>
  <w:abstractNum w:abstractNumId="203">
    <w:nsid w:val="46B24DBC"/>
    <w:multiLevelType w:val="hybridMultilevel"/>
    <w:lvl w:ilvl="0">
      <w:lvlJc w:val="left"/>
      <w:lvlText w:val="●"/>
      <w:numFmt w:val="bullet"/>
      <w:start w:val="1"/>
    </w:lvl>
  </w:abstractNum>
  <w:abstractNum w:abstractNumId="204">
    <w:nsid w:val="75B52783"/>
    <w:multiLevelType w:val="hybridMultilevel"/>
    <w:lvl w:ilvl="0">
      <w:lvlJc w:val="left"/>
      <w:lvlText w:val="(%1)"/>
      <w:numFmt w:val="lowerRoman"/>
      <w:start w:val="6"/>
    </w:lvl>
  </w:abstractNum>
  <w:abstractNum w:abstractNumId="205">
    <w:nsid w:val="57CE66B4"/>
    <w:multiLevelType w:val="hybridMultilevel"/>
    <w:lvl w:ilvl="0">
      <w:lvlJc w:val="left"/>
      <w:lvlText w:val="●"/>
      <w:numFmt w:val="bullet"/>
      <w:start w:val="1"/>
    </w:lvl>
  </w:abstractNum>
  <w:abstractNum w:abstractNumId="206">
    <w:nsid w:val="67A70B69"/>
    <w:multiLevelType w:val="hybridMultilevel"/>
    <w:lvl w:ilvl="0">
      <w:lvlJc w:val="left"/>
      <w:lvlText w:val="●"/>
      <w:numFmt w:val="bullet"/>
      <w:start w:val="1"/>
    </w:lvl>
  </w:abstractNum>
  <w:abstractNum w:abstractNumId="207">
    <w:nsid w:val="5953172F"/>
    <w:multiLevelType w:val="hybridMultilevel"/>
    <w:lvl w:ilvl="0">
      <w:lvlJc w:val="left"/>
      <w:lvlText w:val="●"/>
      <w:numFmt w:val="bullet"/>
      <w:start w:val="1"/>
    </w:lvl>
  </w:abstractNum>
  <w:abstractNum w:abstractNumId="208">
    <w:nsid w:val="27EDFE3A"/>
    <w:multiLevelType w:val="hybridMultilevel"/>
    <w:lvl w:ilvl="0">
      <w:lvlJc w:val="left"/>
      <w:lvlText w:val="●"/>
      <w:numFmt w:val="bullet"/>
      <w:start w:val="1"/>
    </w:lvl>
  </w:abstractNum>
  <w:abstractNum w:abstractNumId="209">
    <w:nsid w:val="52AC7DFF"/>
    <w:multiLevelType w:val="hybridMultilevel"/>
    <w:lvl w:ilvl="0">
      <w:lvlJc w:val="left"/>
      <w:lvlText w:val="%1."/>
      <w:numFmt w:val="upperLetter"/>
      <w:start w:val="1"/>
    </w:lvl>
  </w:abstractNum>
  <w:abstractNum w:abstractNumId="210">
    <w:nsid w:val="C4C3AF"/>
    <w:multiLevelType w:val="hybridMultilevel"/>
    <w:lvl w:ilvl="0">
      <w:lvlJc w:val="left"/>
      <w:lvlText w:val="1"/>
      <w:numFmt w:val="bullet"/>
      <w:start w:val="1"/>
    </w:lvl>
  </w:abstractNum>
  <w:abstractNum w:abstractNumId="211">
    <w:nsid w:val="44380727"/>
    <w:multiLevelType w:val="hybridMultilevel"/>
    <w:lvl w:ilvl="0">
      <w:lvlJc w:val="left"/>
      <w:lvlText w:val="%1."/>
      <w:numFmt w:val="upperLetter"/>
      <w:start w:val="2"/>
    </w:lvl>
  </w:abstractNum>
  <w:abstractNum w:abstractNumId="212">
    <w:nsid w:val="6C053B16"/>
    <w:multiLevelType w:val="hybridMultilevel"/>
    <w:lvl w:ilvl="0">
      <w:lvlJc w:val="left"/>
      <w:lvlText w:val="%1."/>
      <w:numFmt w:val="upperLetter"/>
      <w:start w:val="3"/>
    </w:lvl>
  </w:abstractNum>
  <w:abstractNum w:abstractNumId="213">
    <w:nsid w:val="4F294393"/>
    <w:multiLevelType w:val="hybridMultilevel"/>
    <w:lvl w:ilvl="0">
      <w:lvlJc w:val="left"/>
      <w:lvlText w:val="%1."/>
      <w:numFmt w:val="upperLetter"/>
      <w:start w:val="4"/>
    </w:lvl>
  </w:abstractNum>
  <w:abstractNum w:abstractNumId="214">
    <w:nsid w:val="5243BFAC"/>
    <w:multiLevelType w:val="hybridMultilevel"/>
    <w:lvl w:ilvl="0">
      <w:lvlJc w:val="left"/>
      <w:lvlText w:val="1"/>
      <w:numFmt w:val="bullet"/>
      <w:start w:val="1"/>
    </w:lvl>
  </w:abstractNum>
  <w:abstractNum w:abstractNumId="215">
    <w:nsid w:val="425EB207"/>
    <w:multiLevelType w:val="hybridMultilevel"/>
    <w:lvl w:ilvl="0">
      <w:lvlJc w:val="left"/>
      <w:lvlText w:val="%1."/>
      <w:numFmt w:val="upperLetter"/>
      <w:start w:val="1"/>
    </w:lvl>
  </w:abstractNum>
  <w:abstractNum w:abstractNumId="216">
    <w:nsid w:val="334A6F1F"/>
    <w:multiLevelType w:val="hybridMultilevel"/>
    <w:lvl w:ilvl="0">
      <w:lvlJc w:val="left"/>
      <w:lvlText w:val="●"/>
      <w:numFmt w:val="bullet"/>
      <w:start w:val="1"/>
    </w:lvl>
  </w:abstractNum>
  <w:abstractNum w:abstractNumId="217">
    <w:nsid w:val="2E5B12B8"/>
    <w:multiLevelType w:val="hybridMultilevel"/>
    <w:lvl w:ilvl="0">
      <w:lvlJc w:val="left"/>
      <w:lvlText w:val="●"/>
      <w:numFmt w:val="bullet"/>
      <w:start w:val="1"/>
    </w:lvl>
  </w:abstractNum>
  <w:abstractNum w:abstractNumId="218">
    <w:nsid w:val="5C03D76D"/>
    <w:multiLevelType w:val="hybridMultilevel"/>
    <w:lvl w:ilvl="0">
      <w:lvlJc w:val="left"/>
      <w:lvlText w:val="●"/>
      <w:numFmt w:val="bullet"/>
      <w:start w:val="1"/>
    </w:lvl>
  </w:abstractNum>
  <w:abstractNum w:abstractNumId="219">
    <w:nsid w:val="66A48D11"/>
    <w:multiLevelType w:val="hybridMultilevel"/>
    <w:lvl w:ilvl="0">
      <w:lvlJc w:val="left"/>
      <w:lvlText w:val="●"/>
      <w:numFmt w:val="bullet"/>
      <w:start w:val="1"/>
    </w:lvl>
  </w:abstractNum>
  <w:abstractNum w:abstractNumId="220">
    <w:nsid w:val="56C28E34"/>
    <w:multiLevelType w:val="hybridMultilevel"/>
    <w:lvl w:ilvl="0">
      <w:lvlJc w:val="left"/>
      <w:lvlText w:val="%1."/>
      <w:numFmt w:val="upperLetter"/>
      <w:start w:val="1"/>
    </w:lvl>
  </w:abstractNum>
  <w:abstractNum w:abstractNumId="221">
    <w:nsid w:val="13916F2D"/>
    <w:multiLevelType w:val="hybridMultilevel"/>
    <w:lvl w:ilvl="0">
      <w:lvlJc w:val="left"/>
      <w:lvlText w:val="●"/>
      <w:numFmt w:val="bullet"/>
      <w:start w:val="1"/>
    </w:lvl>
    <w:lvl w:ilvl="1">
      <w:lvlJc w:val="left"/>
      <w:lvlText w:val="◦"/>
      <w:numFmt w:val="bullet"/>
      <w:start w:val="1"/>
    </w:lvl>
  </w:abstractNum>
  <w:abstractNum w:abstractNumId="222">
    <w:nsid w:val="435D38D"/>
    <w:multiLevelType w:val="hybridMultilevel"/>
    <w:lvl w:ilvl="0">
      <w:lvlJc w:val="left"/>
      <w:lvlText w:val="●"/>
      <w:numFmt w:val="bullet"/>
      <w:start w:val="1"/>
    </w:lvl>
  </w:abstractNum>
  <w:abstractNum w:abstractNumId="223">
    <w:nsid w:val="822C0EF"/>
    <w:multiLevelType w:val="hybridMultilevel"/>
    <w:lvl w:ilvl="0">
      <w:lvlJc w:val="left"/>
      <w:lvlText w:val="%1."/>
      <w:numFmt w:val="upperLetter"/>
      <w:start w:val="1"/>
    </w:lvl>
  </w:abstractNum>
  <w:abstractNum w:abstractNumId="224">
    <w:nsid w:val="57C5BB4F"/>
    <w:multiLevelType w:val="hybridMultilevel"/>
    <w:lvl w:ilvl="0">
      <w:lvlJc w:val="left"/>
      <w:lvlText w:val="%1."/>
      <w:numFmt w:val="upperLetter"/>
      <w:start w:val="1"/>
    </w:lvl>
  </w:abstractNum>
  <w:abstractNum w:abstractNumId="225">
    <w:nsid w:val="1803D089"/>
    <w:multiLevelType w:val="hybridMultilevel"/>
    <w:lvl w:ilvl="0">
      <w:lvlJc w:val="left"/>
      <w:lvlText w:val="%1."/>
      <w:numFmt w:val="upperLetter"/>
      <w:start w:val="2"/>
    </w:lvl>
  </w:abstractNum>
  <w:abstractNum w:abstractNumId="226">
    <w:nsid w:val="4F3A06D4"/>
    <w:multiLevelType w:val="hybridMultilevel"/>
    <w:lvl w:ilvl="0">
      <w:lvlJc w:val="left"/>
      <w:lvlText w:val="%1."/>
      <w:numFmt w:val="upperLetter"/>
      <w:start w:val="2"/>
    </w:lvl>
  </w:abstractNum>
  <w:abstractNum w:abstractNumId="227">
    <w:nsid w:val="59A377B6"/>
    <w:multiLevelType w:val="hybridMultilevel"/>
    <w:lvl w:ilvl="0">
      <w:lvlJc w:val="left"/>
      <w:lvlText w:val="%1."/>
      <w:numFmt w:val="upperLetter"/>
      <w:start w:val="2"/>
    </w:lvl>
  </w:abstractNum>
  <w:abstractNum w:abstractNumId="228">
    <w:nsid w:val="48AEB063"/>
    <w:multiLevelType w:val="hybridMultilevel"/>
    <w:lvl w:ilvl="0">
      <w:lvlJc w:val="left"/>
      <w:lvlText w:val="%1."/>
      <w:numFmt w:val="upperLetter"/>
      <w:start w:val="3"/>
    </w:lvl>
  </w:abstractNum>
  <w:abstractNum w:abstractNumId="229">
    <w:nsid w:val="24E135"/>
    <w:multiLevelType w:val="hybridMultilevel"/>
    <w:lvl w:ilvl="0">
      <w:lvlJc w:val="left"/>
      <w:lvlText w:val="%1."/>
      <w:numFmt w:val="upperLetter"/>
      <w:start w:val="5"/>
    </w:lvl>
  </w:abstractNum>
  <w:abstractNum w:abstractNumId="230">
    <w:nsid w:val="BB13C1"/>
    <w:multiLevelType w:val="hybridMultilevel"/>
    <w:lvl w:ilvl="0">
      <w:lvlJc w:val="left"/>
      <w:lvlText w:val="%1."/>
      <w:numFmt w:val="upperLetter"/>
      <w:start w:val="1"/>
    </w:lvl>
  </w:abstractNum>
  <w:abstractNum w:abstractNumId="231">
    <w:nsid w:val="271210C7"/>
    <w:multiLevelType w:val="hybridMultilevel"/>
    <w:lvl w:ilvl="0">
      <w:lvlJc w:val="left"/>
      <w:lvlText w:val="●"/>
      <w:numFmt w:val="bullet"/>
      <w:start w:val="1"/>
    </w:lvl>
  </w:abstractNum>
  <w:abstractNum w:abstractNumId="232">
    <w:nsid w:val="217B22E4"/>
    <w:multiLevelType w:val="hybridMultilevel"/>
    <w:lvl w:ilvl="0">
      <w:lvlJc w:val="left"/>
      <w:lvlText w:val="●"/>
      <w:numFmt w:val="bullet"/>
      <w:start w:val="1"/>
    </w:lvl>
  </w:abstractNum>
  <w:abstractNum w:abstractNumId="233">
    <w:nsid w:val="53E31A24"/>
    <w:multiLevelType w:val="hybridMultilevel"/>
    <w:lvl w:ilvl="0">
      <w:lvlJc w:val="left"/>
      <w:lvlText w:val="1"/>
      <w:numFmt w:val="bullet"/>
      <w:start w:val="1"/>
    </w:lvl>
  </w:abstractNum>
  <w:abstractNum w:abstractNumId="234">
    <w:nsid w:val="6DC45E83"/>
    <w:multiLevelType w:val="hybridMultilevel"/>
    <w:lvl w:ilvl="0">
      <w:lvlJc w:val="left"/>
      <w:lvlText w:val="%1."/>
      <w:numFmt w:val="upperLetter"/>
      <w:start w:val="3"/>
    </w:lvl>
  </w:abstractNum>
  <w:abstractNum w:abstractNumId="235">
    <w:nsid w:val="17304A67"/>
    <w:multiLevelType w:val="hybridMultilevel"/>
    <w:lvl w:ilvl="0">
      <w:lvlJc w:val="left"/>
      <w:lvlText w:val="*"/>
      <w:numFmt w:val="bullet"/>
      <w:start w:val="1"/>
    </w:lvl>
  </w:abstractNum>
  <w:abstractNum w:abstractNumId="236">
    <w:nsid w:val="2BB180D8"/>
    <w:multiLevelType w:val="hybridMultilevel"/>
    <w:lvl w:ilvl="0">
      <w:lvlJc w:val="left"/>
      <w:lvlText w:val="%1."/>
      <w:numFmt w:val="upperLetter"/>
      <w:start w:val="1"/>
    </w:lvl>
  </w:abstractNum>
  <w:abstractNum w:abstractNumId="237">
    <w:nsid w:val="556B69ED"/>
    <w:multiLevelType w:val="hybridMultilevel"/>
    <w:lvl w:ilvl="0">
      <w:lvlJc w:val="left"/>
      <w:lvlText w:val="%1)"/>
      <w:numFmt w:val="lowerRoman"/>
      <w:start w:val="1"/>
    </w:lvl>
  </w:abstractNum>
  <w:abstractNum w:abstractNumId="238">
    <w:nsid w:val="70836196"/>
    <w:multiLevelType w:val="hybridMultilevel"/>
    <w:lvl w:ilvl="0">
      <w:lvlJc w:val="left"/>
      <w:lvlText w:val="%1."/>
      <w:numFmt w:val="upperLetter"/>
      <w:start w:val="2"/>
    </w:lvl>
  </w:abstractNum>
  <w:abstractNum w:abstractNumId="239">
    <w:nsid w:val="539F7F12"/>
    <w:multiLevelType w:val="hybridMultilevel"/>
    <w:lvl w:ilvl="0">
      <w:lvlJc w:val="left"/>
      <w:lvlText w:val="%1."/>
      <w:numFmt w:val="upperLetter"/>
      <w:start w:val="2"/>
    </w:lvl>
  </w:abstractNum>
  <w:abstractNum w:abstractNumId="240">
    <w:nsid w:val="2817E7EC"/>
    <w:multiLevelType w:val="hybridMultilevel"/>
    <w:lvl w:ilvl="0">
      <w:lvlJc w:val="left"/>
      <w:lvlText w:val="%1."/>
      <w:numFmt w:val="upperLetter"/>
      <w:start w:val="3"/>
    </w:lvl>
  </w:abstractNum>
  <w:abstractNum w:abstractNumId="241">
    <w:nsid w:val="71482545"/>
    <w:multiLevelType w:val="hybridMultilevel"/>
    <w:lvl w:ilvl="0">
      <w:lvlJc w:val="left"/>
      <w:lvlText w:val="%1."/>
      <w:numFmt w:val="upperLetter"/>
      <w:start w:val="4"/>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
      <w:numFmt w:val="bullet"/>
      <w:start w:val="1"/>
    </w:lvl>
    <w:lvl w:ilvl="1">
      <w:lvlJc w:val="left"/>
      <w:lvlText w:val="(%2)"/>
      <w:numFmt w:val="lowerLetter"/>
      <w:start w:val="1"/>
    </w:lvl>
  </w:abstractNum>
  <w:abstractNum w:abstractNumId="246">
    <w:nsid w:val="567BD50A"/>
    <w:multiLevelType w:val="hybridMultilevel"/>
    <w:lvl w:ilvl="0">
      <w:lvlJc w:val="left"/>
      <w:lvlText w:val="●"/>
      <w:numFmt w:val="bullet"/>
      <w:start w:val="1"/>
    </w:lvl>
  </w:abstractNum>
  <w:abstractNum w:abstractNumId="247">
    <w:nsid w:val="73BBD7F8"/>
    <w:multiLevelType w:val="hybridMultilevel"/>
    <w:lvl w:ilvl="0">
      <w:lvlJc w:val="left"/>
      <w:lvlText w:val="●"/>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1."/>
      <w:numFmt w:val="decimal"/>
      <w:start w:val="1"/>
    </w:lvl>
    <w:lvl w:ilvl="1">
      <w:lvlJc w:val="left"/>
      <w:lvlText w:val="(%2)"/>
      <w:numFmt w:val="lowerLetter"/>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abstractNum>
  <w:abstractNum w:abstractNumId="253">
    <w:nsid w:val="5E963896"/>
    <w:multiLevelType w:val="hybridMultilevel"/>
    <w:lvl w:ilvl="0">
      <w:lvlJc w:val="left"/>
      <w:lvlText w:val="(%1)"/>
      <w:numFmt w:val="decimal"/>
      <w:start w:val="1"/>
    </w:lvl>
  </w:abstractNum>
  <w:abstractNum w:abstractNumId="254">
    <w:nsid w:val="775BA7C1"/>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2024-03-07T07:14:29Z</dcterms:created>
  <dcterms:modified xsi:type="dcterms:W3CDTF">2024-03-07T07:14:29Z</dcterms:modified>
</cp:coreProperties>
</file>