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April 1,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333-285894</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333-278868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333-285894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333-278868</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KEEL INFRASTRUCTURE CORP.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3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41-4266374</w:t>
            </w:r>
          </w:p>
        </w:tc>
      </w:tr>
      <w:tr>
        <w:trPr>
          <w:trHeight w:val="194"/>
        </w:trPr>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4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5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3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3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120 Broadway, Suite 1075,</w:t>
            </w:r>
          </w:p>
        </w:tc>
        <w:tc>
          <w:tcPr>
            <w:tcW w:w="3900" w:type="dxa"/>
            <w:vAlign w:val="bottom"/>
          </w:tcPr>
          <w:p>
            <w:pPr>
              <w:spacing w:after="0"/>
              <w:rPr>
                <w:sz w:val="24"/>
                <w:szCs w:val="24"/>
                <w:color w:val="auto"/>
              </w:rPr>
            </w:pPr>
          </w:p>
        </w:tc>
      </w:tr>
      <w:tr>
        <w:trPr>
          <w:trHeight w:val="245"/>
        </w:trPr>
        <w:tc>
          <w:tcPr>
            <w:tcW w:w="73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900" w:type="dxa"/>
            <w:vAlign w:val="bottom"/>
            <w:tcBorders>
              <w:top w:val="single" w:sz="8" w:color="auto"/>
            </w:tcBorders>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7340" w:type="dxa"/>
            <w:vAlign w:val="bottom"/>
            <w:gridSpan w:val="3"/>
          </w:tcPr>
          <w:p>
            <w:pPr>
              <w:jc w:val="center"/>
              <w:ind w:left="3830"/>
              <w:spacing w:after="0"/>
              <w:rPr>
                <w:sz w:val="20"/>
                <w:szCs w:val="20"/>
                <w:color w:val="auto"/>
              </w:rPr>
            </w:pPr>
            <w:r>
              <w:rPr>
                <w:rFonts w:ascii="Times New Roman" w:cs="Times New Roman" w:eastAsia="Times New Roman" w:hAnsi="Times New Roman"/>
                <w:sz w:val="18"/>
                <w:szCs w:val="18"/>
                <w:b w:val="1"/>
                <w:bCs w:val="1"/>
                <w:color w:val="auto"/>
                <w:w w:val="99"/>
              </w:rPr>
              <w:t>Bitfarms Ltd. Long Term Incentive Plan</w:t>
            </w:r>
          </w:p>
        </w:tc>
        <w:tc>
          <w:tcPr>
            <w:tcW w:w="3900" w:type="dxa"/>
            <w:vAlign w:val="bottom"/>
          </w:tcPr>
          <w:p>
            <w:pPr>
              <w:spacing w:after="0"/>
              <w:rPr>
                <w:sz w:val="24"/>
                <w:szCs w:val="24"/>
                <w:color w:val="auto"/>
              </w:rPr>
            </w:pPr>
          </w:p>
        </w:tc>
      </w:tr>
      <w:tr>
        <w:trPr>
          <w:trHeight w:val="216"/>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Stronghold Digital Mining, Inc. Omnibus Incentive Plan</w:t>
            </w:r>
          </w:p>
        </w:tc>
      </w:tr>
      <w:tr>
        <w:trPr>
          <w:trHeight w:val="238"/>
        </w:trPr>
        <w:tc>
          <w:tcPr>
            <w:tcW w:w="7340" w:type="dxa"/>
            <w:vAlign w:val="bottom"/>
            <w:gridSpan w:val="3"/>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rPr>
              <w:t>(Full title of the plans)</w:t>
            </w:r>
          </w:p>
        </w:tc>
        <w:tc>
          <w:tcPr>
            <w:tcW w:w="3900" w:type="dxa"/>
            <w:vAlign w:val="bottom"/>
          </w:tcPr>
          <w:p>
            <w:pPr>
              <w:spacing w:after="0"/>
              <w:rPr>
                <w:sz w:val="20"/>
                <w:szCs w:val="20"/>
                <w:color w:val="auto"/>
              </w:rPr>
            </w:pPr>
          </w:p>
        </w:tc>
      </w:tr>
      <w:tr>
        <w:trPr>
          <w:trHeight w:val="432"/>
        </w:trPr>
        <w:tc>
          <w:tcPr>
            <w:tcW w:w="7340" w:type="dxa"/>
            <w:vAlign w:val="bottom"/>
            <w:gridSpan w:val="3"/>
          </w:tcPr>
          <w:p>
            <w:pPr>
              <w:jc w:val="center"/>
              <w:ind w:left="383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3900" w:type="dxa"/>
            <w:vAlign w:val="bottom"/>
          </w:tcPr>
          <w:p>
            <w:pPr>
              <w:spacing w:after="0"/>
              <w:rPr>
                <w:sz w:val="24"/>
                <w:szCs w:val="24"/>
                <w:color w:val="auto"/>
              </w:rPr>
            </w:pPr>
          </w:p>
        </w:tc>
      </w:tr>
      <w:tr>
        <w:trPr>
          <w:trHeight w:val="410"/>
        </w:trPr>
        <w:tc>
          <w:tcPr>
            <w:tcW w:w="73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Ryan J. Dzierniejko</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Rachel Silverstein</w:t>
            </w:r>
          </w:p>
        </w:tc>
      </w:tr>
      <w:tr>
        <w:trPr>
          <w:trHeight w:val="216"/>
        </w:trPr>
        <w:tc>
          <w:tcPr>
            <w:tcW w:w="73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Keel Infrastructure Corp.</w:t>
            </w:r>
          </w:p>
        </w:tc>
      </w:tr>
      <w:tr>
        <w:trPr>
          <w:trHeight w:val="216"/>
        </w:trPr>
        <w:tc>
          <w:tcPr>
            <w:tcW w:w="73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120 Broadway, Suite 1075</w:t>
            </w:r>
          </w:p>
        </w:tc>
      </w:tr>
      <w:tr>
        <w:trPr>
          <w:trHeight w:val="216"/>
        </w:trPr>
        <w:tc>
          <w:tcPr>
            <w:tcW w:w="73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c>
          <w:tcPr>
            <w:tcW w:w="39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 NY 10004</w:t>
            </w:r>
          </w:p>
        </w:tc>
      </w:tr>
      <w:tr>
        <w:trPr>
          <w:trHeight w:val="238"/>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735-3000</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0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(929) 264-5151</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left="340" w:hanging="332"/>
        <w:spacing w:after="0" w:line="239" w:lineRule="exact"/>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Post-Effective Amendment is being filed pursuant to Rule 414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Keel Infrastructure Corp., a Delaware corporation (“</w:t>
      </w:r>
      <w:r>
        <w:rPr>
          <w:rFonts w:ascii="Times New Roman" w:cs="Times New Roman" w:eastAsia="Times New Roman" w:hAnsi="Times New Roman"/>
          <w:sz w:val="18"/>
          <w:szCs w:val="18"/>
          <w:u w:val="single" w:color="auto"/>
          <w:color w:val="auto"/>
        </w:rPr>
        <w:t>Keel</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as successor issuer to Bitfarms Ltd., a corporation existing under the laws of the Province of Ontario (“</w:t>
      </w:r>
      <w:r>
        <w:rPr>
          <w:rFonts w:ascii="Times New Roman" w:cs="Times New Roman" w:eastAsia="Times New Roman" w:hAnsi="Times New Roman"/>
          <w:sz w:val="18"/>
          <w:szCs w:val="18"/>
          <w:u w:val="single" w:color="auto"/>
          <w:color w:val="auto"/>
        </w:rPr>
        <w:t>Bitfarms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as of 12:01 a.m. (Eastern Daylight Time) on April 1, 2026, Keel became the ultimate parent company of Bitfarms and its subsidiaries pursuant to a statutory plan of arrangement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u w:val="single" w:color="auto"/>
          <w:color w:val="auto"/>
        </w:rPr>
        <w:t>Arrangement</w:t>
      </w:r>
      <w:r>
        <w:rPr>
          <w:rFonts w:ascii="Times New Roman" w:cs="Times New Roman" w:eastAsia="Times New Roman" w:hAnsi="Times New Roman"/>
          <w:sz w:val="18"/>
          <w:szCs w:val="18"/>
          <w:color w:val="auto"/>
        </w:rPr>
        <w:t>”) as part of Bitfarms’ previously announced intention to redomicile from Canada to the United States (the “</w:t>
      </w:r>
      <w:r>
        <w:rPr>
          <w:rFonts w:ascii="Times New Roman" w:cs="Times New Roman" w:eastAsia="Times New Roman" w:hAnsi="Times New Roman"/>
          <w:sz w:val="18"/>
          <w:szCs w:val="18"/>
          <w:u w:val="single" w:color="auto"/>
          <w:color w:val="auto"/>
        </w:rPr>
        <w:t>U.S. Redomiciliation Transaction</w:t>
      </w:r>
      <w:r>
        <w:rPr>
          <w:rFonts w:ascii="Times New Roman" w:cs="Times New Roman" w:eastAsia="Times New Roman" w:hAnsi="Times New Roman"/>
          <w:sz w:val="18"/>
          <w:szCs w:val="18"/>
          <w:color w:val="auto"/>
        </w:rPr>
        <w:t>”). Pursuant to the Arrangement, Keel indirectly acquired all of the issued and outstanding common shares in the capital of Bitfarms, and in exchange, former Bitfarms shareholders received one share of common stock of Keel (“</w:t>
      </w:r>
      <w:r>
        <w:rPr>
          <w:rFonts w:ascii="Times New Roman" w:cs="Times New Roman" w:eastAsia="Times New Roman" w:hAnsi="Times New Roman"/>
          <w:sz w:val="18"/>
          <w:szCs w:val="18"/>
          <w:u w:val="single" w:color="auto"/>
          <w:color w:val="auto"/>
        </w:rPr>
        <w:t>Keel 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U.S. Redomiciliation Transaction, Keel is assuming awards granted and the remaining shares available for issuance under Bitfarms’ incentive plans and will provide for the issuance of shares of Keel Common Stock rather than the common shares of Bitfarms upon the exercise or settlement of awards.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pertains to the adoption by the Registrant of the following registration statements on Form S-8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(i) Registration No. 333-285894 and (ii) Registration No. 333-278868. Keel hereby expressly adopts each Registration Statement as its own registration statement for all purposes of the Securities Act and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This Post-Effective Amendment constitutes Post-Effective Amendment No. 1 to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Keel hereby incorporates by reference the following documents previously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(only to the extent “filed” and not “furnished” in accordance with SEC rules):</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Bitfarms’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December 31, 2025;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Keel’s common stock which is contained in Keel’s Current Report on </w:t>
      </w:r>
      <w:hyperlink r:id="rId15">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 2026 pursuant to Rule 12g-3(a) promulgated under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reports that Keel subsequently files pursuant to Sections 13(a) and 13(c), 14 and 15(d) of the Exchange Act, after the date of this Post-Effective Amendment and prior to the filing of a post-effective amendment to this Post-Effective Amendment which indicates that all securities offered hereunder have been sold or which deregisters all such securities then remaining unsold, shall be deemed to be incorporated by reference in this Post-Effective Amendment and to be a part hereof from the date of filing of such reports and documents. Unless expressly incorporated in this Post-Effective Amendment, a report furnished on Form 8-K shall not be incorporated by reference into this Post-Effective Amendment.</w:t>
      </w:r>
    </w:p>
    <w:p>
      <w:pPr>
        <w:spacing w:after="0" w:line="183"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by reference herein shall be deemed to be modified or superseded for purposes of this Post-Effective Amendment to the extent that a statement contained herein or in any other subsequently filed document which also is or is deemed to be incorporated by reference herein modifies or supersedes such earlier statement. Any statement so modified or superseded shall not be deemed, except as so modified or superseded, to constitute a part of this Post-Effective Amendment.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Description of Securities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Interests of Named Experts and Counsel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Section 145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in which such action or suit was brought determines that, in view of all the circumstances of the case, such person is fairly and reasonably entitled to indemnity for such expenses as the court shall deem proper.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 Keel amended and restated certificate of incorporation provides that its current and former directors and officers will be indemnified by Keel to the fullest extent authorized by Delaware law as it now exists or may in the future be amended, against all expenses, liabilities and loss incurred in connection with their service as a director or officer on behalf of the corporation.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Section 102(b)(7) of the DGCL, the Keel amended and restated certificate of incorporation provides that a director or officer of Keel shall not be personally liable to Keel or its stockholders for monetary damages for breach of fiduciary duty as a director or officer, except for such liability as is expressly not subject to limitation under Section 102(b)(7) of the DGCL. Any amendment to, or repeal of, these provisions will not eliminate or reduce the effect of these provisions in respect of any act, omission or claim that occurred or arose prior to that amendment or repeal.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Keel’s bylaws provide that Keel will indemnify any person who is or was a party or is threatened to be made a party to any action, suit, or proceeding by reason of the fact that such person is or was one of Keel’s directors or officers or is or was serving at Keel’s request as a director or officer of another corporation, partnership, joint venture, trust, or other enterprise. Keel’s bylaws also provide that Keel must advance expenses incurred by a director or officer in defending any action, suit or proceeding in advance of the final disposition of such action, suit or proceeding (subject to receipt of an undertaking by or on behalf of such director or officer to repay such amount if it is ultimately determined that such person is not entitled to be indemnified by Keel).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Keel has also authorized the entry into indemnification agreements with its directors and officers. The indemnification agreements require the Registrant to indemnify, and advance expenses to, such directors and officers to the fullest extent permitted by applicable law, on the terms and conditions set forth therein. Keel believes that these agreements are necessary to retain and attract qualified individuals to serve as directors and officers.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Section 145(g) of the DGCL, Keel also maintains a directors’ and officers’ insurance policy which insures the directors and officers of Keel against liability asserted against such persons in such capacity whether or not such directors or officers have the right to indemnification pursuant to the Keel certificate of incorporation, bylaws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Exemption from Registration Claimed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herein.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Undertakings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420" w:hanging="440"/>
        <w:spacing w:after="0" w:line="266" w:lineRule="auto"/>
        <w:tabs>
          <w:tab w:leader="none" w:pos="14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Times New Roman" w:cs="Times New Roman" w:eastAsia="Times New Roman" w:hAnsi="Times New Roman"/>
          <w:sz w:val="18"/>
          <w:szCs w:val="18"/>
          <w:color w:val="auto"/>
        </w:rPr>
      </w:pPr>
    </w:p>
    <w:p>
      <w:pPr>
        <w:ind w:left="1420" w:hanging="440"/>
        <w:spacing w:after="0" w:line="282" w:lineRule="auto"/>
        <w:tabs>
          <w:tab w:leader="none" w:pos="14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left="9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9"/>
            <w:shd w:val="clear" w:color="auto" w:fill="CCEEFF"/>
          </w:tcPr>
          <w:p>
            <w:pPr>
              <w:spacing w:after="0" w:line="136" w:lineRule="exact"/>
              <w:rPr>
                <w:rFonts w:ascii="Times New Roman" w:cs="Times New Roman" w:eastAsia="Times New Roman" w:hAnsi="Times New Roman"/>
                <w:sz w:val="15"/>
                <w:szCs w:val="15"/>
                <w:color w:val="0000EE"/>
              </w:rPr>
            </w:pPr>
            <w:hyperlink r:id="rId19">
              <w:r>
                <w:rPr>
                  <w:rFonts w:ascii="Times New Roman" w:cs="Times New Roman" w:eastAsia="Times New Roman" w:hAnsi="Times New Roman"/>
                  <w:sz w:val="15"/>
                  <w:szCs w:val="15"/>
                  <w:color w:val="0000EE"/>
                </w:rPr>
                <w:t>Amended and Restated Certificate of Incorporation of Keel Infrastructure Corp. (incorporated by reference to Exhibit 3.1 of Keel’s Form 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K filed with the SEC on April 1,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Bylaws of Keel Infrastructure Corp. (incorporated by reference to Exhibit 3.2 of Keel’s Form 8-K filed with the SEC on April 1, 2026)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Bitfarms Ltd. Long Term Incentive Plan (incorporated by reference to Exhibit 4.3 of Bitfarms’ Form S-8 filed with the SEC on April 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2024)</w:t>
              </w:r>
            </w:hyperlink>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Stronghold Digital Mining, Inc. Omnibus Incentive Plan (incorporated by reference to Exhibit 4.3 of Bitfarms’ Form S-8 filed on March 19,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60" w:type="dxa"/>
            <w:vAlign w:val="bottom"/>
            <w:gridSpan w:val="3"/>
          </w:tcPr>
          <w:p>
            <w:pPr>
              <w:ind w:left="1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2025)</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Amendment No. 1 to the Stronghold Digital Mining, Inc. Omnibus Incentive Plan (incorporated by reference to Exhibit 4.4 of Bitfarms’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S-8 filed on March 19, 2025)</w:t>
              </w:r>
            </w:hyperlink>
          </w:p>
        </w:tc>
        <w:tc>
          <w:tcPr>
            <w:tcW w:w="7560" w:type="dxa"/>
            <w:vAlign w:val="bottom"/>
            <w:tcBorders>
              <w:bottom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Amendment No. 2 to the Stronghold Digital Mining, Inc. Omnibus Incentive Plan (incorporated by reference to Exhibit 4.5 of Bitfarms’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S-8 filed on March 19,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Amendment No. 3 to the Stronghold Digital Mining, Inc. Omnibus Incentive Plan (incorporated by reference to Exhibit 4.6 of Bitfarms’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S-8 filed on March 19, 2025)</w:t>
              </w:r>
            </w:hyperlink>
          </w:p>
        </w:tc>
        <w:tc>
          <w:tcPr>
            <w:tcW w:w="7560" w:type="dxa"/>
            <w:vAlign w:val="bottom"/>
            <w:tcBorders>
              <w:bottom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Opinion of Skadden, Arps, Slate, Meagher &amp; Flom LLP as to the legality of the securities being 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Skadden, Arps, Slate, Meagher &amp; Flom LLP (included in Exhibit 5.1)</w:t>
            </w:r>
          </w:p>
        </w:tc>
        <w:tc>
          <w:tcPr>
            <w:tcW w:w="424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New York, State of New York, on this 1st day of April 2026.</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Gagnon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the undersigned directors and officers of the Registrant, hereby severally constitute and appoint Benjamin Gagnon and Jonathan Mir and each of them singly, our true and lawful attorneys, with full power of substitution, for each of them singly, to do any and all acts and all things and to execute any and all instruments which said attorneys and agents may deem necessary or desirable to enable the Registrant to comply with the Securities Act and any rules, regulations and requirements of the Securities and Exchange Commission thereunder, including, without limitation, to sign for us and in our names in the capacities indicated below, the Registration Statement on Form S-8 (this “Registration Statement”) to be filed with the SEC, and any and all pre-effective and post-effective amendments or supplements to this Registration Statement (whether such amendments or supplements are filed before or after the effective date of this Registration Statement), and any related registration statement filed pursuant to Rule 462 under the Securities Act, and any and all instruments or documents filed as part of or in connection with this Registration Statement or any and all amendments thereto (whether such amendments are filed before or after the effective date of this Registration Statement); and each of the undersigned hereby ratifies and confirms all that such attorneys and agents shall do or cause to be done by virtue hereof.</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Benjamin Gagnon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Benjamin Gagnon</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Mir</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Mir</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Marc-Andre Amman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Marc-Andre Ammann</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Edith Hofmeister</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 and Chair of the Board of</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Directors</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Edith Hofmeister</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Howlett</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Howlett, CPA</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Fanny Philip</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Fanny Philip</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Amy Freedman</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Amy Freedman</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Chang</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J. Chang</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Wayne Duso</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w:t>
            </w: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Wayne Duso</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II-5</w:t>
            </w: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200" w:lineRule="exact"/>
        <w:rPr>
          <w:sz w:val="20"/>
          <w:szCs w:val="20"/>
          <w:color w:val="auto"/>
        </w:rPr>
      </w:pPr>
    </w:p>
    <w:p>
      <w:pPr>
        <w:spacing w:after="0" w:line="236"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p>
      <w:pPr>
        <w:spacing w:after="0" w:line="27"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________</w:t>
      </w:r>
    </w:p>
    <w:p>
      <w:pPr>
        <w:spacing w:after="0" w:line="207"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color w:val="auto"/>
        </w:rPr>
        <w:t>TEL: (212) 735-3000</w:t>
      </w:r>
    </w:p>
    <w:p>
      <w:pPr>
        <w:spacing w:after="0" w:line="27"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color w:val="auto"/>
        </w:rPr>
        <w:t>FAX: (212) 735-2000</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Broadway, Suite 1075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 Keel Infrastructure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FIRM/AFFILIATE</w:t>
      </w:r>
    </w:p>
    <w:p>
      <w:pPr>
        <w:jc w:val="center"/>
        <w:ind w:right="180"/>
        <w:spacing w:after="0" w:line="226" w:lineRule="auto"/>
        <w:rPr>
          <w:sz w:val="20"/>
          <w:szCs w:val="20"/>
          <w:color w:val="auto"/>
        </w:rPr>
      </w:pPr>
      <w:r>
        <w:rPr>
          <w:rFonts w:ascii="Times New Roman" w:cs="Times New Roman" w:eastAsia="Times New Roman" w:hAnsi="Times New Roman"/>
          <w:sz w:val="14"/>
          <w:szCs w:val="14"/>
          <w:color w:val="auto"/>
        </w:rPr>
        <w:t>OFFICES</w:t>
      </w:r>
    </w:p>
    <w:p>
      <w:pPr>
        <w:ind w:left="380"/>
        <w:spacing w:after="0" w:line="222" w:lineRule="auto"/>
        <w:rPr>
          <w:sz w:val="20"/>
          <w:szCs w:val="20"/>
          <w:color w:val="auto"/>
        </w:rPr>
      </w:pPr>
      <w:r>
        <w:rPr>
          <w:rFonts w:ascii="Times New Roman" w:cs="Times New Roman" w:eastAsia="Times New Roman" w:hAnsi="Times New Roman"/>
          <w:sz w:val="14"/>
          <w:szCs w:val="14"/>
          <w:color w:val="auto"/>
        </w:rPr>
        <w:t>-----------</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BOSTON</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CHICAGO</w:t>
      </w:r>
    </w:p>
    <w:p>
      <w:pPr>
        <w:jc w:val="center"/>
        <w:ind w:right="180"/>
        <w:spacing w:after="0" w:line="222" w:lineRule="auto"/>
        <w:rPr>
          <w:sz w:val="20"/>
          <w:szCs w:val="20"/>
          <w:color w:val="auto"/>
        </w:rPr>
      </w:pPr>
      <w:r>
        <w:rPr>
          <w:rFonts w:ascii="Times New Roman" w:cs="Times New Roman" w:eastAsia="Times New Roman" w:hAnsi="Times New Roman"/>
          <w:sz w:val="14"/>
          <w:szCs w:val="14"/>
          <w:color w:val="auto"/>
        </w:rPr>
        <w:t>HOUSTON</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LOS ANGELES</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PALO ALTO</w:t>
      </w:r>
    </w:p>
    <w:p>
      <w:pPr>
        <w:jc w:val="center"/>
        <w:ind w:right="180"/>
        <w:spacing w:after="0" w:line="222" w:lineRule="auto"/>
        <w:rPr>
          <w:sz w:val="20"/>
          <w:szCs w:val="20"/>
          <w:color w:val="auto"/>
        </w:rPr>
      </w:pPr>
      <w:r>
        <w:rPr>
          <w:rFonts w:ascii="Times New Roman" w:cs="Times New Roman" w:eastAsia="Times New Roman" w:hAnsi="Times New Roman"/>
          <w:sz w:val="14"/>
          <w:szCs w:val="14"/>
          <w:color w:val="auto"/>
        </w:rPr>
        <w:t>WASHINGTON, D.C.</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WILMINGTON</w:t>
      </w:r>
    </w:p>
    <w:p>
      <w:pPr>
        <w:ind w:left="380"/>
        <w:spacing w:after="0" w:line="222" w:lineRule="auto"/>
        <w:rPr>
          <w:sz w:val="20"/>
          <w:szCs w:val="20"/>
          <w:color w:val="auto"/>
        </w:rPr>
      </w:pPr>
      <w:r>
        <w:rPr>
          <w:rFonts w:ascii="Times New Roman" w:cs="Times New Roman" w:eastAsia="Times New Roman" w:hAnsi="Times New Roman"/>
          <w:sz w:val="14"/>
          <w:szCs w:val="14"/>
          <w:color w:val="auto"/>
        </w:rPr>
        <w:t>-----------</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ABU DHABI</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BEIJING</w:t>
      </w:r>
    </w:p>
    <w:p>
      <w:pPr>
        <w:jc w:val="center"/>
        <w:ind w:right="180"/>
        <w:spacing w:after="0" w:line="222" w:lineRule="auto"/>
        <w:rPr>
          <w:sz w:val="20"/>
          <w:szCs w:val="20"/>
          <w:color w:val="auto"/>
        </w:rPr>
      </w:pPr>
      <w:r>
        <w:rPr>
          <w:rFonts w:ascii="Times New Roman" w:cs="Times New Roman" w:eastAsia="Times New Roman" w:hAnsi="Times New Roman"/>
          <w:sz w:val="14"/>
          <w:szCs w:val="14"/>
          <w:color w:val="auto"/>
        </w:rPr>
        <w:t>BRUSSELS</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FRANKFURT</w:t>
      </w:r>
    </w:p>
    <w:p>
      <w:pPr>
        <w:jc w:val="center"/>
        <w:ind w:right="180"/>
        <w:spacing w:after="0" w:line="222" w:lineRule="auto"/>
        <w:rPr>
          <w:sz w:val="20"/>
          <w:szCs w:val="20"/>
          <w:color w:val="auto"/>
        </w:rPr>
      </w:pPr>
      <w:r>
        <w:rPr>
          <w:rFonts w:ascii="Times New Roman" w:cs="Times New Roman" w:eastAsia="Times New Roman" w:hAnsi="Times New Roman"/>
          <w:sz w:val="14"/>
          <w:szCs w:val="14"/>
          <w:color w:val="auto"/>
        </w:rPr>
        <w:t>HONG KONG</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LONDON</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MUNICH</w:t>
      </w:r>
    </w:p>
    <w:p>
      <w:pPr>
        <w:jc w:val="center"/>
        <w:ind w:right="180"/>
        <w:spacing w:after="0" w:line="222" w:lineRule="auto"/>
        <w:rPr>
          <w:sz w:val="20"/>
          <w:szCs w:val="20"/>
          <w:color w:val="auto"/>
        </w:rPr>
      </w:pPr>
      <w:r>
        <w:rPr>
          <w:rFonts w:ascii="Times New Roman" w:cs="Times New Roman" w:eastAsia="Times New Roman" w:hAnsi="Times New Roman"/>
          <w:sz w:val="14"/>
          <w:szCs w:val="14"/>
          <w:color w:val="auto"/>
        </w:rPr>
        <w:t>PARIS</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SÃO PAULO</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SEOUL</w:t>
      </w:r>
    </w:p>
    <w:p>
      <w:pPr>
        <w:jc w:val="center"/>
        <w:ind w:right="180"/>
        <w:spacing w:after="0" w:line="222" w:lineRule="auto"/>
        <w:rPr>
          <w:sz w:val="20"/>
          <w:szCs w:val="20"/>
          <w:color w:val="auto"/>
        </w:rPr>
      </w:pPr>
      <w:r>
        <w:rPr>
          <w:rFonts w:ascii="Times New Roman" w:cs="Times New Roman" w:eastAsia="Times New Roman" w:hAnsi="Times New Roman"/>
          <w:sz w:val="14"/>
          <w:szCs w:val="14"/>
          <w:color w:val="auto"/>
        </w:rPr>
        <w:t>SINGAPORE</w:t>
      </w:r>
    </w:p>
    <w:p>
      <w:pPr>
        <w:jc w:val="center"/>
        <w:ind w:right="180"/>
        <w:spacing w:after="0" w:line="221" w:lineRule="auto"/>
        <w:rPr>
          <w:sz w:val="20"/>
          <w:szCs w:val="20"/>
          <w:color w:val="auto"/>
        </w:rPr>
      </w:pPr>
      <w:r>
        <w:rPr>
          <w:rFonts w:ascii="Times New Roman" w:cs="Times New Roman" w:eastAsia="Times New Roman" w:hAnsi="Times New Roman"/>
          <w:sz w:val="14"/>
          <w:szCs w:val="14"/>
          <w:color w:val="auto"/>
        </w:rPr>
        <w:t>TOKYO</w:t>
      </w:r>
    </w:p>
    <w:p>
      <w:pPr>
        <w:jc w:val="center"/>
        <w:ind w:right="180"/>
        <w:spacing w:after="0"/>
        <w:rPr>
          <w:sz w:val="20"/>
          <w:szCs w:val="20"/>
          <w:color w:val="auto"/>
        </w:rPr>
      </w:pPr>
      <w:r>
        <w:rPr>
          <w:rFonts w:ascii="Times New Roman" w:cs="Times New Roman" w:eastAsia="Times New Roman" w:hAnsi="Times New Roman"/>
          <w:sz w:val="14"/>
          <w:szCs w:val="14"/>
          <w:color w:val="auto"/>
        </w:rPr>
        <w:t>TORONTO</w:t>
      </w:r>
    </w:p>
    <w:p>
      <w:pPr>
        <w:spacing w:after="0" w:line="2542" w:lineRule="exact"/>
        <w:rPr>
          <w:sz w:val="20"/>
          <w:szCs w:val="20"/>
          <w:color w:val="auto"/>
        </w:rPr>
      </w:pPr>
    </w:p>
    <w:p>
      <w:pPr>
        <w:sectPr>
          <w:pgSz w:w="11900" w:h="16838" w:orient="portrait"/>
          <w:cols w:equalWidth="0" w:num="2">
            <w:col w:w="9040" w:space="720"/>
            <w:col w:w="1480"/>
          </w:cols>
          <w:pgMar w:left="320" w:top="117" w:right="339" w:bottom="1440" w:gutter="0" w:footer="0" w:header="0"/>
        </w:sectPr>
      </w:pPr>
    </w:p>
    <w:p>
      <w:pPr>
        <w:spacing w:after="0" w:line="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United States counsel to Keel Infrastructure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Post-Effective Amendment No. 1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the Company’s Registration Statements on Form S-8 (Registration No. 333-278868 and 333-285894) (together the “</w:t>
      </w:r>
      <w:r>
        <w:rPr>
          <w:rFonts w:ascii="Times New Roman" w:cs="Times New Roman" w:eastAsia="Times New Roman" w:hAnsi="Times New Roman"/>
          <w:sz w:val="18"/>
          <w:szCs w:val="18"/>
          <w:u w:val="single" w:color="auto"/>
          <w:color w:val="auto"/>
        </w:rPr>
        <w:t>Initial Registration Statements</w:t>
      </w:r>
      <w:r>
        <w:rPr>
          <w:rFonts w:ascii="Times New Roman" w:cs="Times New Roman" w:eastAsia="Times New Roman" w:hAnsi="Times New Roman"/>
          <w:sz w:val="18"/>
          <w:szCs w:val="18"/>
          <w:color w:val="auto"/>
        </w:rPr>
        <w:t>”) to be filed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the date hereof, relating to the registration by the Company of up to 37,569,388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pursuant to the Bitfarms Canada 2021 Long-term Incentive Plan, as amended on March 3, 2022, January 15, 2024 and April 16, 2024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and 3,892,853 Shares of the Company’s Common Stock issuable pursuant to the Stronghold Omnibus Incentive Plan, as amended on January 18, 2023, June 18, 2024 and March 14, 2025 (the “</w:t>
      </w:r>
      <w:r>
        <w:rPr>
          <w:rFonts w:ascii="Times New Roman" w:cs="Times New Roman" w:eastAsia="Times New Roman" w:hAnsi="Times New Roman"/>
          <w:sz w:val="18"/>
          <w:szCs w:val="18"/>
          <w:u w:val="single" w:color="auto"/>
          <w:color w:val="auto"/>
        </w:rPr>
        <w:t>Stronghold Plan</w:t>
      </w:r>
      <w:r>
        <w:rPr>
          <w:rFonts w:ascii="Times New Roman" w:cs="Times New Roman" w:eastAsia="Times New Roman" w:hAnsi="Times New Roman"/>
          <w:sz w:val="18"/>
          <w:szCs w:val="18"/>
          <w:color w:val="auto"/>
        </w:rPr>
        <w:t>” and together with the 2021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25" w:lineRule="exact"/>
        <w:rPr>
          <w:sz w:val="20"/>
          <w:szCs w:val="20"/>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Registration Statements;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 the form to be filed with the Commission on the date hereof;</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Plans;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arrangement agreement, dated as of February 6, 2026, by and among Bitfarms Ltd., the Company, and 1576430 B.C. Unlimited Liability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Rachel Silverstein, EVP, General Counsel and Corporate Secretary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Certificate of Incorporation, in effect as of the date hereof, certified by the Secretary of State of the State of Delaware as of March 31, 2026, and certified pursuant to the Secretary’s Certificate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By-laws, in effect as of the date hereof, certified pursuant to the Secretary’s Certificate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written consent of the board of directors of the Company, dated as of March 31, 2026, certified pursuant to the Secretary’s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Bitfarms Ltd. and such agreements, certificates and receipts of public officials, certificates of officers or other representatives of the Company and others, and such other documents as we have deemed necessary or appropriate as a basis for the opinions stated below, including the facts and conclusions set forth in the Secretary’s Certificate.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and the enforceability thereof against such parties.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rendering the opinion stated herein, we have also assumed that: (i) when issued in book-entry form, an appropriate account statement evidencing the Shares credited to the recipient’s account maintained with the Company’s transfer agent has been or will be issued by the Company’s transfer agent; (ii) the issuance of the Shares will be properly recorded in the books and records of the Company; (iii) each award agreement under which options, restricted stock, restricted stock units or other awards were granted pursuant to the applicable Plan will be consistent with such Plan and will be duly authorized, executed and delivered by the parties thereto; (iv) the consideration received by the Company for each of the Shares delivered pursuant to the applicable Plan shall not be less than the per share par value of the Shares; and (v) the issuance of the Shares does not violate or conflict with any agreement or instrument binding on the Company (except that we do not make this assumption with respect to the Certificate of Incorporation or the Bylaws or those agreements or instruments expressed to be governed by the laws of the State of New York which are listed in Part II of the Registration Statement).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participants in accordance with the terms and conditions of an applicable Plan and the applicable award agreement for consideration in an amount at least equal to the par value of such Shares, the Shares will be validly issued, fully paid and non-assessable.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the applicable laws.</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1 to the Registration Statements on Form S-8 (Nos. 333-285894 and 333-278868) of Keel Infrastructure Corp. (as successor issuer to Bitfarms Ltd.) of our report dated March 31, 2026, relating to the financial statements and the effectiveness of internal control over financial reporting of Bitfarms Ltd., which appears in Bitfarms Ltd.’s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14" Type="http://schemas.openxmlformats.org/officeDocument/2006/relationships/hyperlink" Target="http://www.sec.gov/ix?doc=/Archives/edgar/data/1812477/000121390026037514/ea0282809-10k_bitfarms.htm" TargetMode="External"/><Relationship Id="rId15" Type="http://schemas.openxmlformats.org/officeDocument/2006/relationships/hyperlink" Target="http://www.sec.gov/Archives/edgar/data/1812477/000121390026038080/ea0284500-8k_keelinfra.htm" TargetMode="External"/><Relationship Id="rId19" Type="http://schemas.openxmlformats.org/officeDocument/2006/relationships/hyperlink" Target="http://www.sec.gov/Archives/edgar/data/1812477/000121390026038080/ea028450001ex3-1.htm" TargetMode="External"/><Relationship Id="rId20" Type="http://schemas.openxmlformats.org/officeDocument/2006/relationships/hyperlink" Target="http://www.sec.gov/Archives/edgar/data/1812477/000121390026038080/ea028450001ex3-2.htm" TargetMode="External"/><Relationship Id="rId21" Type="http://schemas.openxmlformats.org/officeDocument/2006/relationships/hyperlink" Target="http://www.sec.gov/Archives/edgar/data/1812477/000121390024035021/ea020433201ex4-3_bit.htm" TargetMode="External"/><Relationship Id="rId22" Type="http://schemas.openxmlformats.org/officeDocument/2006/relationships/hyperlink" Target="http://www.sec.gov/Archives/edgar/data/1812477/000101376225000733/ea023274401ex4-3_bitfarms.htm" TargetMode="External"/><Relationship Id="rId23" Type="http://schemas.openxmlformats.org/officeDocument/2006/relationships/hyperlink" Target="http://www.sec.gov/Archives/edgar/data/1812477/000101376225000733/ea023274401ex4-4_bitfarms.htm" TargetMode="External"/><Relationship Id="rId24" Type="http://schemas.openxmlformats.org/officeDocument/2006/relationships/hyperlink" Target="http://www.sec.gov/Archives/edgar/data/1812477/000101376225000733/ea023274401ex4-5_bitfarms.htm" TargetMode="External"/><Relationship Id="rId25" Type="http://schemas.openxmlformats.org/officeDocument/2006/relationships/hyperlink" Target="http://www.sec.gov/Archives/edgar/data/1812477/000101376225000733/ea023274401ex4-6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2026-04-02T05:12:37Z</dcterms:created>
  <dcterms:modified xsi:type="dcterms:W3CDTF">2026-04-02T05:12:37Z</dcterms:modified>
</cp:coreProperties>
</file>