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November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November 27,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20">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333-272989).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November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27,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2023.</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November 27, 2023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Morphy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gmorphy@bitfarms.com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154305</wp:posOffset>
            </wp:positionV>
            <wp:extent cx="2031365" cy="53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Initiates Transformative Fleet Upgrade that Supports 17 EH/s and 391 MW in 2024</w:t>
      </w:r>
    </w:p>
    <w:p>
      <w:pPr>
        <w:spacing w:after="0" w:line="229" w:lineRule="exact"/>
        <w:rPr>
          <w:sz w:val="20"/>
          <w:szCs w:val="20"/>
          <w:color w:val="auto"/>
        </w:rPr>
      </w:pPr>
    </w:p>
    <w:p>
      <w:pPr>
        <w:jc w:val="center"/>
        <w:ind w:left="340" w:right="2520"/>
        <w:spacing w:after="0" w:line="261" w:lineRule="auto"/>
        <w:rPr>
          <w:sz w:val="20"/>
          <w:szCs w:val="20"/>
          <w:color w:val="auto"/>
        </w:rPr>
      </w:pPr>
      <w:r>
        <w:rPr>
          <w:rFonts w:ascii="Times New Roman" w:cs="Times New Roman" w:eastAsia="Times New Roman" w:hAnsi="Times New Roman"/>
          <w:sz w:val="18"/>
          <w:szCs w:val="18"/>
          <w:color w:val="auto"/>
        </w:rPr>
        <w:t>- Purchases 35,888 Bitmain T21 miners to be delivered and installed in H1 2024 - - Provides Q2 2024 guidance of 310 MW and 12 EH/s at 25 w/TH - - Secures option for an additional 28,000 T21 miners to achieve 17 EH/s in H2 2024 - - Schedules special conference call for November 28, 2023 at 8:30 am ET -</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(November 27, 2023)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BITF//TSX: BITF</w:t>
      </w:r>
      <w:r>
        <w:rPr>
          <w:rFonts w:ascii="Times New Roman" w:cs="Times New Roman" w:eastAsia="Times New Roman" w:hAnsi="Times New Roman"/>
          <w:sz w:val="18"/>
          <w:szCs w:val="18"/>
          <w:color w:val="auto"/>
        </w:rPr>
        <w:t>), a global vertically integrated Bitcoin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mining company, has placed a firm purchase order for 35,888 Bitmain T21 miners at a price of $2,660 per unit with deliveries scheduled from March 2024 to May 2024. With its recently announced financing, Bitfarms will have sufficient liquidity to complete the purchase obligations for this order. Concurrently, Bitfarms has secured a purchase option for an additional 28,000 Bitmain T21 miners. Management will discuss the 2024 transformative fleet upgrade plan on a conference call to be held on November 28, 2023, at 8:30 am 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contracted delivery and proposed deployment plan is as follows with estimated operating capacity and hashrate performance:</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60" w:type="dxa"/>
            <w:vAlign w:val="bottom"/>
          </w:tcPr>
          <w:p>
            <w:pPr>
              <w:spacing w:after="0"/>
              <w:rPr>
                <w:sz w:val="21"/>
                <w:szCs w:val="21"/>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At Nov. 27, 2023</w:t>
            </w:r>
          </w:p>
        </w:tc>
        <w:tc>
          <w:tcPr>
            <w:tcW w:w="2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H1 2024</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H2 2024</w:t>
            </w:r>
          </w:p>
        </w:tc>
        <w:tc>
          <w:tcPr>
            <w:tcW w:w="0" w:type="dxa"/>
            <w:vAlign w:val="bottom"/>
          </w:tcPr>
          <w:p>
            <w:pPr>
              <w:spacing w:after="0"/>
              <w:rPr>
                <w:sz w:val="1"/>
                <w:szCs w:val="1"/>
                <w:color w:val="auto"/>
              </w:rPr>
            </w:pPr>
          </w:p>
        </w:tc>
      </w:tr>
      <w:tr>
        <w:trPr>
          <w:trHeight w:val="216"/>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Scheduled Deliveries</w:t>
            </w: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Canada, Paraguay, and U.S.</w:t>
            </w:r>
          </w:p>
        </w:tc>
        <w:tc>
          <w:tcPr>
            <w:tcW w:w="2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Canada, Paraguay, Argentina, and U.S.</w:t>
            </w:r>
          </w:p>
        </w:tc>
        <w:tc>
          <w:tcPr>
            <w:tcW w:w="0" w:type="dxa"/>
            <w:vAlign w:val="bottom"/>
          </w:tcPr>
          <w:p>
            <w:pPr>
              <w:spacing w:after="0"/>
              <w:rPr>
                <w:sz w:val="1"/>
                <w:szCs w:val="1"/>
                <w:color w:val="auto"/>
              </w:rPr>
            </w:pPr>
          </w:p>
        </w:tc>
      </w:tr>
      <w:tr>
        <w:trPr>
          <w:trHeight w:val="198"/>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Additional MWs</w:t>
            </w: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+70 Yguazu, Paraguay, +11 Baie-Comeau,</w:t>
            </w:r>
          </w:p>
        </w:tc>
        <w:tc>
          <w:tcPr>
            <w:tcW w:w="0" w:type="dxa"/>
            <w:vAlign w:val="bottom"/>
          </w:tcPr>
          <w:p>
            <w:pPr>
              <w:spacing w:after="0"/>
              <w:rPr>
                <w:sz w:val="1"/>
                <w:szCs w:val="1"/>
                <w:color w:val="auto"/>
              </w:rPr>
            </w:pPr>
          </w:p>
        </w:tc>
      </w:tr>
      <w:tr>
        <w:trPr>
          <w:trHeight w:val="234"/>
        </w:trPr>
        <w:tc>
          <w:tcPr>
            <w:tcW w:w="3060" w:type="dxa"/>
            <w:vAlign w:val="bottom"/>
            <w:vMerge w:val="continue"/>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2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+70 Paso Pe, Paraguay</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Québec</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Energy Efficiency</w:t>
            </w:r>
          </w:p>
        </w:tc>
        <w:tc>
          <w:tcPr>
            <w:tcW w:w="2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35 w/TH</w:t>
            </w:r>
          </w:p>
        </w:tc>
        <w:tc>
          <w:tcPr>
            <w:tcW w:w="25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25 w/TH</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 w/TH</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Capacity</w:t>
            </w:r>
          </w:p>
        </w:tc>
        <w:tc>
          <w:tcPr>
            <w:tcW w:w="2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240 MW</w:t>
            </w:r>
          </w:p>
        </w:tc>
        <w:tc>
          <w:tcPr>
            <w:tcW w:w="2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310 MW</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391 MW</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Target Hashrate</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6.3 EH/s</w:t>
            </w:r>
          </w:p>
        </w:tc>
        <w:tc>
          <w:tcPr>
            <w:tcW w:w="25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12 EH/s</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 EH/s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“We’ve built our world class, scalable infrastructure in anticipation of the right time to implement a transformative equipment upgrade. Now, with the most attractive equipment pricing since 2020, we’ve launched our comprehensive strategy with a well-defined pathway to 17 EH/s in H2 2024 and the hardware secured for 21 EH/s in 2024,” said Geoff Morphy, President and CEO of Bitfarms. “In parallel with new farm development, the 35,888 Bitmain T21 miner deployment combined with our option to purchase an additional 28,000 Bitmain T21 miners are expected to increase our operating capacity 63% to 391 MW and improve fleet efficiency 34% to 23 w/TH. This strategy is expected to significantly increase efficiencies along with lower unit production costs and dramatic hashrate growth, positioning us well for the upcoming Halving and beyond.”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half of 2024, at our Paso Pe, Paraguay facility, we expect to increase production and to expand the design from 50 MW to 70 MW, which we anticipate would boost our corporate operating capacity to 310 MW. Coupled with upgrades throughout our other farms, we are targeting to expeditiously grow our hashrate to 12 EH/s in H1 2024, a 90% increase from November 27, 2023. At Yguazu, Paraguay, our plan is for an initial 80 MW capacity and the deployment of 70 MW of new high-performance miners. As such, we expect this new phase of development in Paraguay to be a major contributor to our organic growth in H2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 Gagnon, Chief Mining Officer of Bitfarms said, “Our patience has paid off. These next-gen T21 miners are being purchased at a contract price of $14.00/TH and 190 TH/s per unit. With an ultra-efficient 3 Phase 415v PSU (power supply unit) and a manufacturer supported ‘High energy Mode,’ these miners are able to produce up to 233 TH/s, making them the most powerful known air-cooled Bitcoin miners currently made resulting in significant savings, including a nearly 19% cost reduction in $/TH with High energy Mode and with significant savings throughout the supply chain.”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high energy density of the T21 enables the upgrade of our farms utilizing our existing infrastructure with the most competitive pricing and mining economics we have seen since 2020. We have taken full advantage by securing this competitive price to upgrade 10 of our 11 farms and energize all our contracted MWs under development. With this upgrade, we believe we will leapfrog ahead of the network difficulty curve by driving rapid and meaningful improvements in hashrate, energy efficiency and costs per BTC, positioning us to thrive through the Halving and capture upside from rising Bitcoin prices and mining economics,” Gagnon concluded.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on November 28, 2023, 8:30 am ET</w:t>
      </w:r>
    </w:p>
    <w:p>
      <w:pPr>
        <w:spacing w:after="0" w:line="229" w:lineRule="exact"/>
        <w:rPr>
          <w:sz w:val="20"/>
          <w:szCs w:val="20"/>
          <w:color w:val="auto"/>
        </w:rPr>
      </w:pPr>
    </w:p>
    <w:p>
      <w:pPr>
        <w:jc w:val="both"/>
        <w:ind w:left="20" w:hanging="8"/>
        <w:spacing w:after="0" w:line="282" w:lineRule="auto"/>
        <w:rPr>
          <w:sz w:val="20"/>
          <w:szCs w:val="20"/>
          <w:color w:val="auto"/>
        </w:rPr>
      </w:pPr>
      <w:r>
        <w:rPr>
          <w:rFonts w:ascii="Times New Roman" w:cs="Times New Roman" w:eastAsia="Times New Roman" w:hAnsi="Times New Roman"/>
          <w:sz w:val="18"/>
          <w:szCs w:val="18"/>
          <w:color w:val="auto"/>
        </w:rPr>
        <w:t>Management will host a conference call on Tuesday, November 28, 2023, at 8:30 a.m. ET to update investors on today’s announcement. Following management’s formal remarks there will be a question-and-answer session.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access: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asked to pre-register for the call through the following link: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Fleet Upgrade Conference Call</w:t>
      </w:r>
    </w:p>
    <w:p>
      <w:pPr>
        <w:spacing w:after="0" w:line="225" w:lineRule="exact"/>
        <w:rPr>
          <w:sz w:val="20"/>
          <w:szCs w:val="20"/>
          <w:color w:val="auto"/>
        </w:rPr>
      </w:pPr>
    </w:p>
    <w:p>
      <w:pPr>
        <w:jc w:val="both"/>
        <w:ind w:left="20" w:hanging="8"/>
        <w:spacing w:after="0" w:line="266" w:lineRule="auto"/>
        <w:rPr>
          <w:sz w:val="20"/>
          <w:szCs w:val="20"/>
          <w:color w:val="auto"/>
        </w:rPr>
      </w:pPr>
      <w:r>
        <w:rPr>
          <w:rFonts w:ascii="Times New Roman" w:cs="Times New Roman" w:eastAsia="Times New Roman" w:hAnsi="Times New Roman"/>
          <w:sz w:val="18"/>
          <w:szCs w:val="18"/>
          <w:color w:val="auto"/>
        </w:rPr>
        <w:t>Please note that registered participants will receive their dial-in number upon registration and will dial directly into the call without delay. Those without internet access or unable to pre-register may dial in by calling: 1-866-777-2509 (domestic), or 1-412-317-5413 (international). All callers should dial-in approximately 10 minutes prior to the scheduled start time and ask to be joined into the Bitfarms call.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The conference call will also be available through a live webcast found 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3703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23430" cy="3703320"/>
                    </a:xfrm>
                    <a:prstGeom prst="rect">
                      <a:avLst/>
                    </a:prstGeom>
                    <a:noFill/>
                  </pic:spPr>
                </pic:pic>
              </a:graphicData>
            </a:graphic>
          </wp:anchor>
        </w:drawing>
      </w:r>
    </w:p>
    <w:p>
      <w:pPr>
        <w:spacing w:after="0" w:line="205"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A webcast replay of the call will be available approximately one hour after the end of the call and will be available for one year, at the above webcast link. A telephonic replay of the call will be available through December 5, 2023, and may be accessed by calling 1-877-344-7529 (domestic) or 1-412-317-0088 (international) or Canada (toll free) 855-669-9658 and using access code 1239167. A presentation will be accessible on Tuesday, November 28, 2023, under the “Investors” section of Bitfarms’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publicly traded (NASDAQ/TSX: BITF)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11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wp:posOffset>
            </wp:positionV>
            <wp:extent cx="67208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20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BTC/day = Bitcoin or Bitcoin per day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 or PH/s = Petahash or petahash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 or TH/s = Terahash or terahash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-1352550</wp:posOffset>
            </wp:positionV>
            <wp:extent cx="672084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-1078230</wp:posOffset>
            </wp:positionV>
            <wp:extent cx="67208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-803910</wp:posOffset>
            </wp:positionV>
            <wp:extent cx="672084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-529590</wp:posOffset>
            </wp:positionV>
            <wp:extent cx="672084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-255270</wp:posOffset>
            </wp:positionV>
            <wp:extent cx="672084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23430" cy="8229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23430" cy="822960"/>
                    </a:xfrm>
                    <a:prstGeom prst="rect">
                      <a:avLst/>
                    </a:prstGeom>
                    <a:noFill/>
                  </pic:spPr>
                </pic:pic>
              </a:graphicData>
            </a:graphic>
          </wp:anchor>
        </w:drawing>
      </w:r>
    </w:p>
    <w:p>
      <w:pPr>
        <w:spacing w:after="0" w:line="207" w:lineRule="exact"/>
        <w:rPr>
          <w:sz w:val="20"/>
          <w:szCs w:val="20"/>
          <w:color w:val="auto"/>
        </w:rPr>
      </w:pPr>
    </w:p>
    <w:p>
      <w:pPr>
        <w:jc w:val="both"/>
        <w:ind w:left="20" w:hanging="8"/>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ind w:left="20" w:hanging="8"/>
        <w:spacing w:after="0" w:line="254" w:lineRule="auto"/>
        <w:rPr>
          <w:sz w:val="20"/>
          <w:szCs w:val="20"/>
          <w:color w:val="auto"/>
        </w:rPr>
      </w:pPr>
      <w:r>
        <w:rPr>
          <w:rFonts w:ascii="Times New Roman" w:cs="Times New Roman" w:eastAsia="Times New Roman" w:hAnsi="Times New Roman"/>
          <w:sz w:val="18"/>
          <w:szCs w:val="18"/>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miner equipment purchase, contracted delivery and proposed deployment plan, performance of the equipment and the impact on operating capacity including hashrate growth, energy efficiency and cost savings, and other statements regarding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8" w:lineRule="exact"/>
        <w:rPr>
          <w:sz w:val="20"/>
          <w:szCs w:val="20"/>
          <w:color w:val="auto"/>
        </w:rPr>
      </w:pPr>
    </w:p>
    <w:p>
      <w:pPr>
        <w:jc w:val="both"/>
        <w:ind w:left="20" w:hanging="8"/>
        <w:spacing w:after="0" w:line="258" w:lineRule="auto"/>
        <w:rPr>
          <w:sz w:val="20"/>
          <w:szCs w:val="20"/>
          <w:color w:val="auto"/>
        </w:rPr>
      </w:pPr>
      <w:r>
        <w:rPr>
          <w:rFonts w:ascii="Times New Roman" w:cs="Times New Roman" w:eastAsia="Times New Roman" w:hAnsi="Times New Roman"/>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left="20" w:hanging="8"/>
        <w:spacing w:after="0" w:line="266" w:lineRule="auto"/>
        <w:rPr>
          <w:sz w:val="20"/>
          <w:szCs w:val="20"/>
          <w:color w:val="auto"/>
        </w:rPr>
      </w:pPr>
      <w:r>
        <w:rPr>
          <w:rFonts w:ascii="Times New Roman" w:cs="Times New Roman" w:eastAsia="Times New Roman" w:hAnsi="Times New Roman"/>
          <w:sz w:val="17"/>
          <w:szCs w:val="17"/>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Times New Roman" w:cs="Times New Roman" w:eastAsia="Times New Roman" w:hAnsi="Times New Roman"/>
          <w:sz w:val="17"/>
          <w:szCs w:val="17"/>
          <w:color w:val="auto"/>
          <w:highlight w:val="white"/>
        </w:rPr>
        <w:t>-ended December 31, 2022, filed on March 21, 2023. The</w:t>
      </w:r>
      <w:r>
        <w:rPr>
          <w:rFonts w:ascii="Times New Roman" w:cs="Times New Roman" w:eastAsia="Times New Roman" w:hAnsi="Times New Roman"/>
          <w:sz w:val="17"/>
          <w:szCs w:val="17"/>
          <w:i w:val="1"/>
          <w:iCs w:val="1"/>
          <w:color w:val="auto"/>
          <w:highlight w:val="white"/>
        </w:rPr>
        <w:t xml:space="preserv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712343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102870</wp:posOffset>
            </wp:positionV>
            <wp:extent cx="712343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20" Type="http://schemas.openxmlformats.org/officeDocument/2006/relationships/hyperlink" Target="https://www.sec.gov/Archives/edgar/data/1812477/000121390023052498/ea180981-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2023-11-28T07:05:19Z</dcterms:created>
  <dcterms:modified xsi:type="dcterms:W3CDTF">2023-11-28T07:05:19Z</dcterms:modified>
</cp:coreProperties>
</file>