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1, 2025, the Registrant filed with the Canadian Securities Regulatory Authorities on the System for Electronic Data Analysis and Retrieval + (SEDAR +) a press release, a copy of which is attached hereto as Exhibit 99.1. Exhibit 99.1 is hereby incorporated by reference into the Registration Statement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 as amended or supplemented. On May 6, 2025, the Registrant filed with the Canadian Securities Regulatory Authorities on SEDAR + a press release, a copy of which is attached hereto as Exhibit 99.2, which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320" w:type="dxa"/>
            <w:vAlign w:val="bottom"/>
          </w:tcPr>
          <w:p>
            <w:pPr>
              <w:spacing w:after="0"/>
              <w:rPr>
                <w:sz w:val="20"/>
                <w:szCs w:val="20"/>
                <w:color w:val="auto"/>
              </w:rPr>
            </w:pPr>
          </w:p>
        </w:tc>
        <w:tc>
          <w:tcPr>
            <w:tcW w:w="77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778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1, 2025</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6,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156845</wp:posOffset>
            </wp:positionV>
            <wp:extent cx="235712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3571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April 2025 Production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207" w:lineRule="exact"/>
        <w:rPr>
          <w:sz w:val="20"/>
          <w:szCs w:val="20"/>
          <w:color w:val="auto"/>
        </w:rPr>
      </w:pPr>
    </w:p>
    <w:p>
      <w:pPr>
        <w:ind w:left="160" w:hanging="113"/>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private debt facility with a division of Macquarie Group for up to $300 million to fund initial HPC project development at Panther Creek, validating</w:t>
      </w:r>
    </w:p>
    <w:p>
      <w:pPr>
        <w:spacing w:after="0" w:line="27" w:lineRule="exact"/>
        <w:rPr>
          <w:rFonts w:ascii="Times New Roman" w:cs="Times New Roman" w:eastAsia="Times New Roman" w:hAnsi="Times New Roman"/>
          <w:sz w:val="18"/>
          <w:szCs w:val="18"/>
          <w:color w:val="auto"/>
        </w:rPr>
      </w:pPr>
    </w:p>
    <w:p>
      <w:pPr>
        <w:ind w:left="2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attractiveness of Bitfarms’ potential HPC data center development pipeline-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--Operational hashrate of 19.5 EHuM and fleet efficiency of 19 w/TH–</w:t>
      </w:r>
    </w:p>
    <w:p>
      <w:pPr>
        <w:spacing w:after="0" w:line="22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jc w:val="both"/>
        <w:ind w:right="20"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(May 1, 2025) </w:t>
      </w:r>
      <w:r>
        <w:rPr>
          <w:rFonts w:ascii="Times New Roman" w:cs="Times New Roman" w:eastAsia="Times New Roman" w:hAnsi="Times New Roman"/>
          <w:sz w:val="18"/>
          <w:szCs w:val="18"/>
          <w:color w:val="auto"/>
        </w:rPr>
        <w:t>- Bitfarms Ltd. (NASDAQ/TSX: BITF), a global energy and compute infrastructure company, today issued its latest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monthly production report. All financial references are in U.S. dollars.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CEO Ben Gagnon stated, “In April, we secured an attractive financing facility for up to $300 million with a division of Macquarie Group, one of the world’s largest and most reputable infrastructure investors. These funds will be used solely to fund HPC data center development at our Panther Creek location. Panther Creek has the scale, location, power availability, and fiber connectivity that we expect will attract notable HPC counterparties. This site also has the quickest energization timeline of our three PA sites, and we are already working on the Site Map Plans, development timelines and renderings needed in order to begin to build out the powered land.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confident this partnership will not only accelerate our buildout at Panther Creek, but also open doors to future opportunities with Macquarie as we look to scale our project and potentially expand to other sites within our portfolio. Amidst the surging AI revolution and the growing demand for power and infrastructure, this financing arrives at a pivotal time. We believe the analyses provided by our strategic partners, ASG and WWT, along with Macquarie’s due diligence and industry expertise, validate our HPC opportunity thesis at Panther Creek, strengthen our HPC pipeline and strategy, and position Bitfarms as a market leader in sourcing and developing large-scale, high-quality HPC data center projects.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Bitcoin business is strong, and we remain bullish on mining economics with our newly upgraded mining fleet. We have no need nor plans for a large miner purchase in 2025 or 2026, enabling us to focus our efforts on developing U.S. energy and HPC infrastructure, which we believe will create lasting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April 2025 Select Operating Highlights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000" w:type="dxa"/>
            <w:vAlign w:val="bottom"/>
            <w:tcBorders>
              <w:top w:val="single" w:sz="8" w:color="auto"/>
            </w:tcBorders>
          </w:tcPr>
          <w:p>
            <w:pPr>
              <w:spacing w:after="0"/>
              <w:rPr>
                <w:sz w:val="24"/>
                <w:szCs w:val="24"/>
                <w:color w:val="auto"/>
              </w:rPr>
            </w:pPr>
          </w:p>
        </w:tc>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March 2025</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April 2025</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(proforma)</w:t>
            </w: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Month End Operating EHuM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Operating EHuM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Energized Capacity (MW)</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7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EHuM operational at April 30,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EHuM average operational, up 5%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BTC/average EHuM, 6% lower M/M.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 BTC earned, 4% lower M/M.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BTC earned daily on average, equal to ~$837,000 per day based on a BTC price of $94,000 at April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April 2025 Financial Update</w:t>
      </w:r>
    </w:p>
    <w:p>
      <w:pPr>
        <w:spacing w:after="0" w:line="229" w:lineRule="exact"/>
        <w:rPr>
          <w:sz w:val="20"/>
          <w:szCs w:val="20"/>
          <w:color w:val="auto"/>
        </w:rPr>
      </w:pPr>
    </w:p>
    <w:p>
      <w:pPr>
        <w:ind w:left="660" w:right="3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of 1,005 BTC, down from 1,140 BTC last month and representing $94 million based on the Bitcoin price of $94,000 at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energy and compute infrastructure company that develops, owns, and operates vertically integrated HPC and Bitcoin mining data centers. Bitfarms currently has 15 operating Bitcoin data centers situated in four countries: the United States, Canada, Argentina and Paraguay.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Powered primarily by environmentally friendly hydro-electric and long-term power contracts, Bitfarms is committed to using sustainable and often underutilized energy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https://x.com/Bitfarms_io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88900</wp:posOffset>
            </wp:positionV>
            <wp:extent cx="71234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EHuM = Exahash Under Management, which includes Bitfarms’ proprietary hashrate and hashrate being hosted by Bitfarms for third-party hosting clients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Gigawatts or gigawatt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Energized capacity= Power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-2038350</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822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468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North American energy and compute infrastructure strategy, opportunities relating to the potential of the Company’s data centers for HPC/AI opportunities, the potential to deploy the proceeds of the Macquarie Group financing facility at the Panther Creek location, the merits and ability to secure long-term contracts associated with HPC/AI customers, the success of the Company’s HPC/AI strategy in general and its ability to capitalize on growing demand for AI computing while securing predictable cash flows and revenue diversification, the Company’s energy pipeline and its anticipated megawatt growth, the Company’s ability to drive greater shareholder value, projected growth, target hashrate, and other statements regarding future growth, plans and objectives of the Company are forward-looking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503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503920"/>
                    </a:xfrm>
                    <a:prstGeom prst="rect">
                      <a:avLst/>
                    </a:prstGeom>
                    <a:noFill/>
                  </pic:spPr>
                </pic:pic>
              </a:graphicData>
            </a:graphic>
          </wp:anchor>
        </w:drawing>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management’s discussion &amp; analysis for the year-ended December 31, 2024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156845</wp:posOffset>
            </wp:positionV>
            <wp:extent cx="234886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3488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Bitfarms Announces Participation in Upcoming Investor and Industry Conferences</w:t>
      </w:r>
    </w:p>
    <w:p>
      <w:pPr>
        <w:spacing w:after="0" w:line="225" w:lineRule="exact"/>
        <w:rPr>
          <w:sz w:val="20"/>
          <w:szCs w:val="20"/>
          <w:color w:val="auto"/>
        </w:rPr>
      </w:pPr>
    </w:p>
    <w:p>
      <w:pPr>
        <w:jc w:val="both"/>
        <w:ind w:right="20"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(May 6, 2025) </w:t>
      </w:r>
      <w:r>
        <w:rPr>
          <w:rFonts w:ascii="Times New Roman" w:cs="Times New Roman" w:eastAsia="Times New Roman" w:hAnsi="Times New Roman"/>
          <w:sz w:val="18"/>
          <w:szCs w:val="18"/>
          <w:color w:val="auto"/>
        </w:rPr>
        <w:t>- Bitfarms Ltd. (NASDAQ/TSX: BITF), a global energy and compute infrastructure company,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several upcoming investor and industry conferences.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Event: </w:t>
      </w:r>
      <w:r>
        <w:rPr>
          <w:rFonts w:ascii="Times New Roman" w:cs="Times New Roman" w:eastAsia="Times New Roman" w:hAnsi="Times New Roman"/>
          <w:sz w:val="18"/>
          <w:szCs w:val="18"/>
          <w:color w:val="auto"/>
        </w:rPr>
        <w:t>Consensus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May 14-16,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Bitfarms Speakers: </w:t>
      </w:r>
      <w:r>
        <w:rPr>
          <w:rFonts w:ascii="Times New Roman" w:cs="Times New Roman" w:eastAsia="Times New Roman" w:hAnsi="Times New Roman"/>
          <w:sz w:val="18"/>
          <w:szCs w:val="18"/>
          <w:color w:val="auto"/>
        </w:rPr>
        <w:t>Ben Gagnon (CEO), Jeff Lucas (CFO), Alex Brammer (SVP, Mining Operations), Rachel Silverstein (General Counsel,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Panel Information: </w:t>
      </w:r>
      <w:r>
        <w:rPr>
          <w:rFonts w:ascii="Times New Roman" w:cs="Times New Roman" w:eastAsia="Times New Roman" w:hAnsi="Times New Roman"/>
          <w:sz w:val="18"/>
          <w:szCs w:val="18"/>
          <w:color w:val="auto"/>
        </w:rPr>
        <w:t>https://investor.bitfarms.com/events/event-details/consensus-2025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Event: </w:t>
      </w:r>
      <w:r>
        <w:rPr>
          <w:rFonts w:ascii="Times New Roman" w:cs="Times New Roman" w:eastAsia="Times New Roman" w:hAnsi="Times New Roman"/>
          <w:sz w:val="18"/>
          <w:szCs w:val="18"/>
          <w:color w:val="auto"/>
        </w:rPr>
        <w:t>AIM Summit London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May 19-20,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Bitfarms Participants: </w:t>
      </w:r>
      <w:r>
        <w:rPr>
          <w:rFonts w:ascii="Times New Roman" w:cs="Times New Roman" w:eastAsia="Times New Roman" w:hAnsi="Times New Roman"/>
          <w:sz w:val="18"/>
          <w:szCs w:val="18"/>
          <w:color w:val="auto"/>
        </w:rPr>
        <w:t>Ben Gagnon (CEO), Jeff Lucas (CFO), Tracy Krumme (SVP, IR &amp;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Panel Information: </w:t>
      </w:r>
      <w:r>
        <w:rPr>
          <w:rFonts w:ascii="Times New Roman" w:cs="Times New Roman" w:eastAsia="Times New Roman" w:hAnsi="Times New Roman"/>
          <w:sz w:val="18"/>
          <w:szCs w:val="18"/>
          <w:color w:val="auto"/>
        </w:rPr>
        <w:t>https://investor.bitfarms.com/events/event-details/aim-summit-london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Event: </w:t>
      </w:r>
      <w:r>
        <w:rPr>
          <w:rFonts w:ascii="Times New Roman" w:cs="Times New Roman" w:eastAsia="Times New Roman" w:hAnsi="Times New Roman"/>
          <w:sz w:val="18"/>
          <w:szCs w:val="18"/>
          <w:color w:val="auto"/>
        </w:rPr>
        <w:t>BTC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May 27-29,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Location: </w:t>
      </w:r>
      <w:r>
        <w:rPr>
          <w:rFonts w:ascii="Times New Roman" w:cs="Times New Roman" w:eastAsia="Times New Roman" w:hAnsi="Times New Roman"/>
          <w:sz w:val="18"/>
          <w:szCs w:val="18"/>
          <w:color w:val="auto"/>
        </w:rPr>
        <w:t>Las Vegas, NV</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Bitfarms Speakers: </w:t>
      </w:r>
      <w:r>
        <w:rPr>
          <w:rFonts w:ascii="Times New Roman" w:cs="Times New Roman" w:eastAsia="Times New Roman" w:hAnsi="Times New Roman"/>
          <w:sz w:val="18"/>
          <w:szCs w:val="18"/>
          <w:color w:val="auto"/>
        </w:rPr>
        <w:t>Ben Gagnon (CEO), Jeff Lucas (CFO), Alex Brammer (SVP, Mining Operations), Rachel Silverstein (General Counsel,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Tracy Krumme (SVP, IR &amp; Comms)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Panel Information: </w:t>
      </w:r>
      <w:r>
        <w:rPr>
          <w:rFonts w:ascii="Times New Roman" w:cs="Times New Roman" w:eastAsia="Times New Roman" w:hAnsi="Times New Roman"/>
          <w:sz w:val="18"/>
          <w:szCs w:val="18"/>
          <w:color w:val="auto"/>
        </w:rPr>
        <w:t>https://investor.bitfarms.com/events/event-details/btc-las-vegas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or to schedule 1x1 meetings at any of the above conferences, please reach out to investors@bitfarms.com.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75" w:lineRule="auto"/>
        <w:rPr>
          <w:sz w:val="20"/>
          <w:szCs w:val="20"/>
          <w:color w:val="auto"/>
        </w:rPr>
      </w:pPr>
      <w:r>
        <w:rPr>
          <w:rFonts w:ascii="Times New Roman" w:cs="Times New Roman" w:eastAsia="Times New Roman" w:hAnsi="Times New Roman"/>
          <w:sz w:val="18"/>
          <w:szCs w:val="18"/>
          <w:color w:val="auto"/>
        </w:rPr>
        <w:t>Founded in 2017, Bitfarms is a global energy and compute infrastructure company that develops, owns, and operates vertically integrated HPC and Bitcoin mining data centers. Bitfarms currently has 15 operating Bitcoin data centers situated in four countries: the United States, Canada, Argentina and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-288925</wp:posOffset>
            </wp:positionV>
            <wp:extent cx="7123430" cy="1234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23430" cy="1234440"/>
                    </a:xfrm>
                    <a:prstGeom prst="rect">
                      <a:avLst/>
                    </a:prstGeom>
                    <a:noFill/>
                  </pic:spPr>
                </pic:pic>
              </a:graphicData>
            </a:graphic>
          </wp:anchor>
        </w:drawing>
      </w:r>
    </w:p>
    <w:p>
      <w:pPr>
        <w:spacing w:after="0" w:line="370"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Powered primarily by environmentally friendly hydro-electric and long-term power contracts, Bitfarms is committed to using sustainable and often underutilized energy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https://x.com/Bitfarms_io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057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9" Type="http://schemas.openxmlformats.org/officeDocument/2006/relationships/hyperlink" Target="http://www.sec.gov/Archives/edgar/data/1812477/000121390024021080/ea0201346-f10a4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2025-05-07T05:13:47Z</dcterms:created>
  <dcterms:modified xsi:type="dcterms:W3CDTF">2025-05-07T05:13:47Z</dcterms:modified>
</cp:coreProperties>
</file>