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Freedman Amy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Keel Infrastructure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KEEL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2697" w:hanging="5"/>
        <w:spacing w:after="0" w:line="402" w:lineRule="auto"/>
        <w:tabs>
          <w:tab w:leader="none" w:pos="481"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BROADWAY SUITE 1075</w:t>
      </w:r>
    </w:p>
    <w:p>
      <w:pPr>
        <w:spacing w:after="0" w:line="16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10004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60" w:type="dxa"/>
            <w:vAlign w:val="bottom"/>
          </w:tcPr>
          <w:p>
            <w:pPr>
              <w:ind w:left="700"/>
              <w:spacing w:after="0"/>
              <w:rPr>
                <w:sz w:val="20"/>
                <w:szCs w:val="20"/>
                <w:color w:val="auto"/>
              </w:rPr>
            </w:pPr>
            <w:r>
              <w:rPr>
                <w:rFonts w:ascii="Times New Roman" w:cs="Times New Roman" w:eastAsia="Times New Roman" w:hAnsi="Times New Roman"/>
                <w:sz w:val="20"/>
                <w:szCs w:val="20"/>
                <w:color w:val="0000FF"/>
              </w:rPr>
              <w:t>69,568</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12/18/2029</w:t>
            </w:r>
          </w:p>
        </w:tc>
        <w:tc>
          <w:tcPr>
            <w:tcW w:w="17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20"/>
                <w:szCs w:val="20"/>
                <w:color w:val="0000FF"/>
              </w:rPr>
              <w:t>150,000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1.87</w:t>
            </w:r>
            <w:r>
              <w:rPr>
                <w:rFonts w:ascii="Times New Roman" w:cs="Times New Roman" w:eastAsia="Times New Roman" w:hAnsi="Times New Roman"/>
                <w:sz w:val="25"/>
                <w:szCs w:val="25"/>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12/18/2029</w:t>
            </w:r>
          </w:p>
        </w:tc>
        <w:tc>
          <w:tcPr>
            <w:tcW w:w="17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Borders>
              <w:bottom w:val="single" w:sz="8" w:color="2C2C2C"/>
            </w:tcBorders>
          </w:tcPr>
          <w:p>
            <w:pPr>
              <w:jc w:val="right"/>
              <w:ind w:right="37"/>
              <w:spacing w:after="0"/>
              <w:rPr>
                <w:sz w:val="20"/>
                <w:szCs w:val="20"/>
                <w:color w:val="auto"/>
              </w:rPr>
            </w:pPr>
            <w:r>
              <w:rPr>
                <w:rFonts w:ascii="Times New Roman" w:cs="Times New Roman" w:eastAsia="Times New Roman" w:hAnsi="Times New Roman"/>
                <w:sz w:val="20"/>
                <w:szCs w:val="20"/>
                <w:color w:val="0000FF"/>
              </w:rPr>
              <w:t>60,000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1.87</w:t>
            </w:r>
            <w:r>
              <w:rPr>
                <w:rFonts w:ascii="Times New Roman" w:cs="Times New Roman" w:eastAsia="Times New Roman" w:hAnsi="Times New Roman"/>
                <w:sz w:val="25"/>
                <w:szCs w:val="25"/>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December 18, 2024, the reporting person was granted 150,000 stock options which vest in equal installments at December 18, 2024, March 23, 2025, September 23, 2025 and March 23, 2026.</w:t>
      </w:r>
    </w:p>
    <w:p>
      <w:pPr>
        <w:spacing w:after="0" w:line="17" w:lineRule="exact"/>
        <w:rPr>
          <w:rFonts w:ascii="Times New Roman" w:cs="Times New Roman" w:eastAsia="Times New Roman" w:hAnsi="Times New Roman"/>
          <w:sz w:val="15"/>
          <w:szCs w:val="15"/>
          <w:color w:val="008000"/>
        </w:rPr>
      </w:pPr>
    </w:p>
    <w:p>
      <w:pPr>
        <w:ind w:left="40" w:right="2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December 18, 2024, the reporting person was granted 60,000 stock options which vest in equal installments at December 18, 2024, June 18, 2026, December 18, 2025 and June 18, 2026.</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price was converted into its U.S. Dollar equivalent using the Bank of Canada daily exchange rate on March 30, 2026 (at CAD 1.00 = USD 0.718).</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Rachel Silverstein, as</w:t>
            </w:r>
          </w:p>
        </w:tc>
        <w:tc>
          <w:tcPr>
            <w:tcW w:w="2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Rachel Silverstein and Rob Lovett, with full power of substitution and re-substitution, acting individually, as the undersigned’s true and lawful attorney-in-fact, with full power and authority as hereinafter described on behalf of and in the name, place and stead of the undersigned to:</w:t>
      </w:r>
    </w:p>
    <w:p>
      <w:pPr>
        <w:spacing w:after="0" w:line="194" w:lineRule="exact"/>
        <w:rPr>
          <w:sz w:val="20"/>
          <w:szCs w:val="20"/>
          <w:color w:val="auto"/>
        </w:rPr>
      </w:pPr>
    </w:p>
    <w:p>
      <w:pPr>
        <w:jc w:val="both"/>
        <w:ind w:left="1440" w:hanging="720"/>
        <w:spacing w:after="0" w:line="238"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obtain credentials (including codes or passwords) to enable the undersigned to submit and file documents, forms and information required by Section 16(a) of the Securities Exchange Act of 1934, as amended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or any rule or regulation of the U.S. Securities and Exchange Commission (“</w:t>
      </w:r>
      <w:r>
        <w:rPr>
          <w:rFonts w:ascii="Times New Roman" w:cs="Times New Roman" w:eastAsia="Times New Roman" w:hAnsi="Times New Roman"/>
          <w:sz w:val="24"/>
          <w:szCs w:val="24"/>
          <w:u w:val="single" w:color="auto"/>
          <w:color w:val="auto"/>
        </w:rPr>
        <w:t>SEC</w:t>
      </w:r>
      <w:r>
        <w:rPr>
          <w:rFonts w:ascii="Times New Roman" w:cs="Times New Roman" w:eastAsia="Times New Roman" w:hAnsi="Times New Roman"/>
          <w:sz w:val="24"/>
          <w:szCs w:val="24"/>
          <w:color w:val="auto"/>
        </w:rPr>
        <w:t>”) via the Electronic Data Gathering and Retrieval (“</w:t>
      </w:r>
      <w:r>
        <w:rPr>
          <w:rFonts w:ascii="Times New Roman" w:cs="Times New Roman" w:eastAsia="Times New Roman" w:hAnsi="Times New Roman"/>
          <w:sz w:val="24"/>
          <w:szCs w:val="24"/>
          <w:u w:val="single" w:color="auto"/>
          <w:color w:val="auto"/>
        </w:rPr>
        <w:t>EDGAR</w:t>
      </w:r>
      <w:r>
        <w:rPr>
          <w:rFonts w:ascii="Times New Roman" w:cs="Times New Roman" w:eastAsia="Times New Roman" w:hAnsi="Times New Roman"/>
          <w:sz w:val="24"/>
          <w:szCs w:val="24"/>
          <w:color w:val="auto"/>
        </w:rPr>
        <w:t>”)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w:t>
      </w:r>
    </w:p>
    <w:p>
      <w:pPr>
        <w:spacing w:after="0" w:line="208"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98"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Keel Infrastructure Corp.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Form 3, 4 or 5 relating to the Company in accordance with Section 16(a) of the Exchange Act and the rules and regulations promulgated thereunder and Form 144 in accordance with Rule 144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complete and execute any such Form 3, 4 or 5 or Form 144 and any amendments thereto or other required reports and timely file such forms or reports with the SEC and any stock exchange or similar authority as considered necessary or advisable under Section 16(a) of the Exchange Act or Rule 144 under the Securities Act; and</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421005</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584" w:right="479" w:bottom="1440" w:gutter="0" w:footer="0" w:header="0"/>
        </w:sectPr>
      </w:pPr>
    </w:p>
    <w:bookmarkStart w:id="2" w:name="page3"/>
    <w:bookmarkEnd w:id="2"/>
    <w:p>
      <w:pPr>
        <w:jc w:val="both"/>
        <w:ind w:firstLine="720"/>
        <w:spacing w:after="0" w:line="238" w:lineRule="auto"/>
        <w:rPr>
          <w:sz w:val="20"/>
          <w:szCs w:val="20"/>
          <w:color w:val="auto"/>
        </w:rPr>
      </w:pPr>
      <w:r>
        <w:rPr>
          <w:rFonts w:ascii="Times New Roman" w:cs="Times New Roman" w:eastAsia="Times New Roman" w:hAnsi="Times New Roman"/>
          <w:sz w:val="24"/>
          <w:szCs w:val="24"/>
          <w:color w:val="auto"/>
        </w:rPr>
        <w:t>The undersigned hereby acknowledges that: (i) the foregoing attorneys-in-fact are serving in such capacity at the request of the undersigned; (ii) this Power of Attorney authorizes, but does not require, each such attorney-in-fact to act in his or her discretion on information provided to such attorney-in-fact without independent verification of such information; (iii)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5" w:lineRule="exact"/>
        <w:rPr>
          <w:sz w:val="20"/>
          <w:szCs w:val="20"/>
          <w:color w:val="auto"/>
        </w:rPr>
      </w:pPr>
    </w:p>
    <w:p>
      <w:pPr>
        <w:jc w:val="both"/>
        <w:spacing w:after="0" w:line="237" w:lineRule="auto"/>
        <w:tabs>
          <w:tab w:leader="none" w:pos="412"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(a) any liability for the undersigned’s responsibility to comply with the requirements of the Exchange Act or the Securities Act, (b) any liability of the undersigned for any failure to comply with such requirements or (c) any obligation or liability of the undersigned for profit disgorgement under Section 16(b) of the Exchange Act; and (v) this Power of Attorney does not relieve the undersigned from responsibility for compliance with the undersigned’s obligations under the Exchange Act or the Securities Act, including, without limitation, the reporting requirements under Section 16(a) of the Exchange Act.</w:t>
      </w:r>
    </w:p>
    <w:p>
      <w:pPr>
        <w:spacing w:after="0" w:line="20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as to any attorney-in-fact by the undersigned in a signed writing delivered to such attorney-in-fact.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Signature Page Follows</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598805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350" w:right="479" w:bottom="1440" w:gutter="0" w:footer="0" w:header="0"/>
        </w:sectPr>
      </w:pPr>
    </w:p>
    <w:bookmarkStart w:id="3" w:name="page4"/>
    <w:bookmarkEnd w:id="3"/>
    <w:p>
      <w:pPr>
        <w:ind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31 day of March, 2026.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80"/>
        <w:spacing w:after="0"/>
        <w:tabs>
          <w:tab w:leader="none" w:pos="5840" w:val="left"/>
        </w:tabs>
        <w:rPr>
          <w:sz w:val="20"/>
          <w:szCs w:val="20"/>
          <w:color w:val="auto"/>
        </w:rPr>
      </w:pPr>
      <w:r>
        <w:rPr>
          <w:rFonts w:ascii="Times New Roman" w:cs="Times New Roman" w:eastAsia="Times New Roman" w:hAnsi="Times New Roman"/>
          <w:sz w:val="24"/>
          <w:szCs w:val="24"/>
          <w:color w:val="auto"/>
        </w:rPr>
        <w:t>By:</w:t>
      </w:r>
      <w:r>
        <w:rPr>
          <w:sz w:val="20"/>
          <w:szCs w:val="20"/>
          <w:color w:val="auto"/>
        </w:rPr>
        <w:tab/>
      </w:r>
      <w:r>
        <w:rPr>
          <w:rFonts w:ascii="Times New Roman" w:cs="Times New Roman" w:eastAsia="Times New Roman" w:hAnsi="Times New Roman"/>
          <w:sz w:val="24"/>
          <w:szCs w:val="24"/>
          <w:color w:val="auto"/>
        </w:rPr>
        <w:t>/s/ Amy Freedman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15240</wp:posOffset>
            </wp:positionV>
            <wp:extent cx="21539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53920" cy="1905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4"/>
          <w:szCs w:val="24"/>
          <w:color w:val="auto"/>
        </w:rPr>
        <w:t>Name: Amy Freedman</w:t>
      </w:r>
    </w:p>
    <w:sectPr>
      <w:pgSz w:w="11900" w:h="16838" w:orient="portrait"/>
      <w:cols w:equalWidth="0" w:num="1">
        <w:col w:w="10920"/>
      </w:cols>
      <w:pgMar w:left="480" w:top="11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20"/>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15914" TargetMode="External"/><Relationship Id="rId11" Type="http://schemas.openxmlformats.org/officeDocument/2006/relationships/hyperlink" Target="http://www.sec.gov/cgi-bin/browse-edgar?action=getcompany&amp;CIK=00018124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2026-04-01T20:12:44Z</dcterms:created>
  <dcterms:modified xsi:type="dcterms:W3CDTF">2026-04-01T20:12:44Z</dcterms:modified>
</cp:coreProperties>
</file>