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Keel Infrastructure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001-40370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41-4266374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2"/>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120 Broadway, Suite 1075,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(929)-264-5151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 Suite 1601, Toronto, Ontario, MSC 1C4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KEEL</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U.S. Redomiciliation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as of 12:01 a.m. (Eastern Daylight Time) on April 1, 2026, Keel Infrastructure Corp., a Delaware corporation (“</w:t>
      </w:r>
      <w:r>
        <w:rPr>
          <w:rFonts w:ascii="Times New Roman" w:cs="Times New Roman" w:eastAsia="Times New Roman" w:hAnsi="Times New Roman"/>
          <w:sz w:val="18"/>
          <w:szCs w:val="18"/>
          <w:u w:val="single" w:color="auto"/>
          <w:color w:val="auto"/>
        </w:rPr>
        <w:t>Keel</w:t>
      </w:r>
      <w:r>
        <w:rPr>
          <w:rFonts w:ascii="Times New Roman" w:cs="Times New Roman" w:eastAsia="Times New Roman" w:hAnsi="Times New Roman"/>
          <w:sz w:val="18"/>
          <w:szCs w:val="18"/>
          <w:color w:val="auto"/>
        </w:rPr>
        <w:t>”), became the ultimate parent company of Bitfarms Ltd., a corporation existing under the laws of the Province of Ontario (“</w:t>
      </w:r>
      <w:r>
        <w:rPr>
          <w:rFonts w:ascii="Times New Roman" w:cs="Times New Roman" w:eastAsia="Times New Roman" w:hAnsi="Times New Roman"/>
          <w:sz w:val="18"/>
          <w:szCs w:val="18"/>
          <w:u w:val="single" w:color="auto"/>
          <w:color w:val="auto"/>
        </w:rPr>
        <w:t>Bitfarms Canada</w:t>
      </w:r>
      <w:r>
        <w:rPr>
          <w:rFonts w:ascii="Times New Roman" w:cs="Times New Roman" w:eastAsia="Times New Roman" w:hAnsi="Times New Roman"/>
          <w:sz w:val="18"/>
          <w:szCs w:val="18"/>
          <w:color w:val="auto"/>
        </w:rPr>
        <w:t xml:space="preserve">”), and its subsidiaries pursuant to a statutory plan of arrangement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u w:val="single" w:color="auto"/>
          <w:color w:val="auto"/>
        </w:rPr>
        <w:t>Arrangement</w:t>
      </w:r>
      <w:r>
        <w:rPr>
          <w:rFonts w:ascii="Times New Roman" w:cs="Times New Roman" w:eastAsia="Times New Roman" w:hAnsi="Times New Roman"/>
          <w:sz w:val="18"/>
          <w:szCs w:val="18"/>
          <w:color w:val="auto"/>
        </w:rPr>
        <w:t>”) as part of Bitfarms Canada’s previously announced intention to redomicile from Canada to the United States (the “</w:t>
      </w:r>
      <w:r>
        <w:rPr>
          <w:rFonts w:ascii="Times New Roman" w:cs="Times New Roman" w:eastAsia="Times New Roman" w:hAnsi="Times New Roman"/>
          <w:sz w:val="18"/>
          <w:szCs w:val="18"/>
          <w:u w:val="single" w:color="auto"/>
          <w:color w:val="auto"/>
        </w:rPr>
        <w:t>U.S. Redomiciliation Transaction</w:t>
      </w:r>
      <w:r>
        <w:rPr>
          <w:rFonts w:ascii="Times New Roman" w:cs="Times New Roman" w:eastAsia="Times New Roman" w:hAnsi="Times New Roman"/>
          <w:sz w:val="18"/>
          <w:szCs w:val="18"/>
          <w:color w:val="auto"/>
        </w:rPr>
        <w:t>”). Pursuant to the Arrangement, Keel indirectly acquired all of the issued and outstanding common shares in the capital of Bitfarms Canada (the “</w:t>
      </w:r>
      <w:r>
        <w:rPr>
          <w:rFonts w:ascii="Times New Roman" w:cs="Times New Roman" w:eastAsia="Times New Roman" w:hAnsi="Times New Roman"/>
          <w:sz w:val="18"/>
          <w:szCs w:val="18"/>
          <w:u w:val="single" w:color="auto"/>
          <w:color w:val="auto"/>
        </w:rPr>
        <w:t>Bitfarms Canada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in exchange, former Bitfarms Canada shareholders received one share of common stock of Keel (“</w:t>
      </w:r>
      <w:r>
        <w:rPr>
          <w:rFonts w:ascii="Times New Roman" w:cs="Times New Roman" w:eastAsia="Times New Roman" w:hAnsi="Times New Roman"/>
          <w:sz w:val="18"/>
          <w:szCs w:val="18"/>
          <w:u w:val="single" w:color="auto"/>
          <w:color w:val="auto"/>
        </w:rPr>
        <w:t>Keel Common Stock</w:t>
      </w:r>
      <w:r>
        <w:rPr>
          <w:rFonts w:ascii="Times New Roman" w:cs="Times New Roman" w:eastAsia="Times New Roman" w:hAnsi="Times New Roman"/>
          <w:sz w:val="18"/>
          <w:szCs w:val="18"/>
          <w:color w:val="auto"/>
        </w:rPr>
        <w:t>”) per Bitfarms Canada Common Share. The issuance of shares of Keel Common Stock pursuant to the Arrangement was exempt from registration under Section 3(a)(10) of the Securities Act of 1933, as amended.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Bitfarms Canada Common Shares were listed on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Toronto Stock Exchange (the “</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and registered pursuant to Section 12(b)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prior to the U.S. Redomiciliation Transaction. Keel is the successor issuer to Bitfarms Canada pursuant to Rule 12g-3(a) under the Exchange Act, and the Keel Common Stock is therefore deemed to be registered under Section 12(b) of the Exchange Act. Keel hereby reports this succession in accordance with Rule 12g-3(f) under the Exchange Act. As a result of the U.S. Redomiciliation Transaction, Keel does not meet the requirements to qualify as a foreign private issuer under the Exchange Act and will begin reporting immediately as a domestic registrant under the periodic and current reporting requirements of the Exchange Act and the rules and regulations promulgated thereunder.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Keel Common Stock will begin trading on the Nasdaq and the TSX at the start of trading on April 6, 2026, at or immediately prior to which time the Bitfarms Canada Common Shares will be delisted from the TSX and Nasdaq. The Keel Common Stock will trade under the symbol “KEEL.” The CUSIP number for the Keel Common Stock is 486917 107.</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notice of special meeting of shareholders and management proxy circular (the “</w:t>
      </w:r>
      <w:r>
        <w:rPr>
          <w:rFonts w:ascii="Times New Roman" w:cs="Times New Roman" w:eastAsia="Times New Roman" w:hAnsi="Times New Roman"/>
          <w:sz w:val="18"/>
          <w:szCs w:val="18"/>
          <w:u w:val="single" w:color="auto"/>
          <w:color w:val="auto"/>
        </w:rPr>
        <w:t>Management Information Circular</w:t>
      </w:r>
      <w:r>
        <w:rPr>
          <w:rFonts w:ascii="Times New Roman" w:cs="Times New Roman" w:eastAsia="Times New Roman" w:hAnsi="Times New Roman"/>
          <w:sz w:val="18"/>
          <w:szCs w:val="18"/>
          <w:color w:val="auto"/>
        </w:rPr>
        <w:t>”) on Form 6-K of Bitfarms Canada filed on February 25, 2026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for additional information about the U.S. Redomiciliation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 of Debt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 2026, Keel became a co-obligor under the Note Indenture, dated as of October 21, 2025 by and among Bitfarms Canada, Computershare Trust Company, N.A. as trustee and Computershare Trust Company of Canada as Canadian co-trustee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pursuant to a supplemental indenture to such Indenture dated as of April 1,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The Indenture governs the terms of Bitfarms Canada’s US$588 million aggregate principal amount of convertible senior notes, which were issued in October 2025. These notes bear interest at a rate of 1.375% per annum, payable semi-annually in arrears, and mature on January 15, 2031.</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Supplemental Indenture is a general description only and is qualified in its entirety by reference to the Supplemental Indenture, which is filed as Exhibit 4.1 hereto, and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upon the consummation of the U.S. Redomiciliation Transaction, the board of directors of Keel (the “</w:t>
      </w:r>
      <w:r>
        <w:rPr>
          <w:rFonts w:ascii="Times New Roman" w:cs="Times New Roman" w:eastAsia="Times New Roman" w:hAnsi="Times New Roman"/>
          <w:sz w:val="18"/>
          <w:szCs w:val="18"/>
          <w:u w:val="single" w:color="auto"/>
          <w:color w:val="auto"/>
        </w:rPr>
        <w:t>Keel Board</w:t>
      </w:r>
      <w:r>
        <w:rPr>
          <w:rFonts w:ascii="Times New Roman" w:cs="Times New Roman" w:eastAsia="Times New Roman" w:hAnsi="Times New Roman"/>
          <w:sz w:val="18"/>
          <w:szCs w:val="18"/>
          <w:color w:val="auto"/>
        </w:rPr>
        <w:t>”) approved the authority of Keel to enter into indemnification agreements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with Keel and its subsidiaries’ directors and officers. The Indemnification Agreements provide for indemnification of the directors and officers to the fullest extent permitted under Delaware law as it now exists or may in the future be amended, against all expenses, liabilities and loss incurred in connection with their service as a director or executive officer on behalf of Keel. In addition, the Indemnification Agreements provide that, to the fullest extent permitted by Delaware law, Keel shall pay the expenses, including attorneys’ fees, incurred by a director or officer of Keel, in defending any action, suit or proceeding in advance of its final disposition; provided, that to the extent required by law, such payment of expenses in advance of the final disposition of the action, suit or proceeding shall be made only upon receipt of an undertaking by or on behalf of the person to repay all amounts advanced if it is ultimately determined that such person is not entitled to be indemnified by Keel.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a general description only and is qualified in its entirety by reference to the form of the Indemnification Agreement, which is filed as Exhibit 10.7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“Assumption of Debt” under Item 1.01 of this Current Report on Form 8-K is incorporated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the Rights of Security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 5.03 of this Current Report on Form 8-K is incorporated by reference into this Item 3.03.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5.01.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U.S. Redomiciliation Transaction, the directors of Bitfarms Canada immediately prior to the completion of the U.S. Redomiciliation Transaction became the directors of Keel. Membership of the Keel Board and committees of the Keel Board following the completion of the U.S. Redomiciliation Transaction are as set forth in the first table below. The executive officers of Keel are set forth in the second table below. In connection with the U.S. Redomiciliation Transaction, the executive officers may enter into new employment agreements. Information regarding Keel’s directors, officers and committees is included in Bitfarms Canada’s 10-K filed with the SEC on March 31, 2026, under the headings “Directors, Executive Officers and Corporate Governance” and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Governance,</w:t>
            </w:r>
          </w:p>
        </w:tc>
      </w:tr>
      <w:tr>
        <w:trPr>
          <w:trHeight w:val="216"/>
        </w:trPr>
        <w:tc>
          <w:tcPr>
            <w:tcW w:w="2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Nomination,</w:t>
            </w:r>
          </w:p>
        </w:tc>
      </w:tr>
      <w:tr>
        <w:trPr>
          <w:trHeight w:val="216"/>
        </w:trPr>
        <w:tc>
          <w:tcPr>
            <w:tcW w:w="2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Safety,</w:t>
            </w:r>
          </w:p>
        </w:tc>
      </w:tr>
      <w:tr>
        <w:trPr>
          <w:trHeight w:val="216"/>
        </w:trPr>
        <w:tc>
          <w:tcPr>
            <w:tcW w:w="2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Sustainability</w:t>
            </w:r>
          </w:p>
        </w:tc>
      </w:tr>
      <w:tr>
        <w:trPr>
          <w:trHeight w:val="245"/>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2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Technical</w:t>
            </w:r>
          </w:p>
        </w:tc>
      </w:tr>
      <w:tr>
        <w:trPr>
          <w:trHeight w:val="216"/>
        </w:trPr>
        <w:tc>
          <w:tcPr>
            <w:tcW w:w="5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2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*x</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Howlett, CPA</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88"/>
              </w:rPr>
              <w:t>x</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r>
      <w:tr>
        <w:trPr>
          <w:trHeight w:val="216"/>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88"/>
              </w:rPr>
              <w:t>x</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*x</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L. Freedman</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88"/>
              </w:rPr>
              <w:t>x</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*x</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Andrew J. Chang</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88"/>
              </w:rPr>
              <w:t>x</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Duso</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88"/>
              </w:rPr>
              <w:t>x</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Chair</w:t>
            </w:r>
          </w:p>
        </w:tc>
        <w:tc>
          <w:tcPr>
            <w:tcW w:w="27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4"/>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Jonathan Mir</w:t>
            </w: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Liam Wilson</w:t>
            </w:r>
          </w:p>
        </w:tc>
        <w:tc>
          <w:tcPr>
            <w:tcW w:w="29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Rachel Silverstein</w:t>
            </w:r>
          </w:p>
        </w:tc>
        <w:tc>
          <w:tcPr>
            <w:tcW w:w="43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EVP, General Counsel and Corporate Secretary</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Equity Plans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the consummation of the U.S. Redomiciliation Transaction, Keel assumed (i) Bitfarms Canada’s 2021 Long-term Incentive Plan, as amended on March 3, 2022, January 15, 2024 and April 16, 2024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(ii) Bitfarms Canada’s 2025 Long-term Incentive Plan (the “</w:t>
      </w:r>
      <w:r>
        <w:rPr>
          <w:rFonts w:ascii="Times New Roman" w:cs="Times New Roman" w:eastAsia="Times New Roman" w:hAnsi="Times New Roman"/>
          <w:sz w:val="18"/>
          <w:szCs w:val="18"/>
          <w:u w:val="single" w:color="auto"/>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(iii) Stronghold’s Omnibus Incentive Plan, as amended on January 18, 2023, June 18, 2024 and March 14, 2025 (the “</w:t>
      </w:r>
      <w:r>
        <w:rPr>
          <w:rFonts w:ascii="Times New Roman" w:cs="Times New Roman" w:eastAsia="Times New Roman" w:hAnsi="Times New Roman"/>
          <w:sz w:val="18"/>
          <w:szCs w:val="18"/>
          <w:u w:val="single" w:color="auto"/>
          <w:color w:val="auto"/>
        </w:rPr>
        <w:t>Stronghold Plan</w:t>
      </w:r>
      <w:r>
        <w:rPr>
          <w:rFonts w:ascii="Times New Roman" w:cs="Times New Roman" w:eastAsia="Times New Roman" w:hAnsi="Times New Roman"/>
          <w:sz w:val="18"/>
          <w:szCs w:val="18"/>
          <w:color w:val="auto"/>
        </w:rPr>
        <w:t>” and together with the 2021 Plan and the 2025 Plan, the “</w:t>
      </w:r>
      <w:r>
        <w:rPr>
          <w:rFonts w:ascii="Times New Roman" w:cs="Times New Roman" w:eastAsia="Times New Roman" w:hAnsi="Times New Roman"/>
          <w:sz w:val="18"/>
          <w:szCs w:val="18"/>
          <w:u w:val="single" w:color="auto"/>
          <w:color w:val="auto"/>
        </w:rPr>
        <w:t>Equity Plans</w:t>
      </w:r>
      <w:r>
        <w:rPr>
          <w:rFonts w:ascii="Times New Roman" w:cs="Times New Roman" w:eastAsia="Times New Roman" w:hAnsi="Times New Roman"/>
          <w:sz w:val="18"/>
          <w:szCs w:val="18"/>
          <w:color w:val="auto"/>
        </w:rPr>
        <w:t>”), and assumed each outstanding incentive award thereunder. In connection with the assumption, effective April 1, 2026, the Keel Board approved an amendment and restatement of the 2025 Plan to clarify, among other things, that the securities issuable in connection with awards thereunder will be shares of Keel Common Stock rather than Bitfarms Canada Common Shares (the “</w:t>
      </w:r>
      <w:r>
        <w:rPr>
          <w:rFonts w:ascii="Times New Roman" w:cs="Times New Roman" w:eastAsia="Times New Roman" w:hAnsi="Times New Roman"/>
          <w:sz w:val="18"/>
          <w:szCs w:val="18"/>
          <w:u w:val="single" w:color="auto"/>
          <w:color w:val="auto"/>
        </w:rPr>
        <w:t>Amended and Restated Keel Infrastructure Corp. Long-term Incentive Plan</w:t>
      </w:r>
      <w:r>
        <w:rPr>
          <w:rFonts w:ascii="Times New Roman" w:cs="Times New Roman" w:eastAsia="Times New Roman" w:hAnsi="Times New Roman"/>
          <w:sz w:val="18"/>
          <w:szCs w:val="18"/>
          <w:color w:val="auto"/>
        </w:rPr>
        <w:t>”). No new securities are being or will be granted under the 2021 Plan and the Stronghold Plan. Descriptions of the material terms of each Equity Plan is included in Bitfarms Canada’s notice of special meeting of shareholders and management proxy circular, which is filed as Exhibit 99.1 to Bitfarms Canada’s Form 6-K, filed with the SEC on November 17, 2025. The Equity Plans are filed as Exhibits 10.1-10.6 hereto and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U.S. Redomiciliation Transaction, Keel filed an Amended and Restated Certificate of Incorporation on March 31, 2026, a copy of which is attached hereto as Exhibit 3.1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incorporated herein by reference. In addition, Keel adopted Bylaws effective as of February 5, 2026, a copy of which is attached hereto as Exhibit 3.2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summary of the material terms of the Certificate and the Bylaws of Keel are described under the heading “Description of Keel Capital Stock” in the Management Information Circular and are incorporated into this Item 5.03 by reference.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Such descriptions do not purport to be complete and are qualified in their entirety by reference to the full text of the Certificate and the Bylaws, copies of which are attached hereto as Exhibits 3.1 and 3.2 hereto, respectively, each of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2026, Keel issued a press release announcing the completion of the Arrangement and the continuation of Bitfarms Canada’s normal course issuer bid (“NCIB”) by Keel. The press release is attached hereto as Exhibit 99.1 to this Current Report on Form 8-K and is incorporated herein by reference.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this Item 7.01 and in Exhibit 99.1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Keel Capital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KEEL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of the Keel capital stock is based on the provisions of each of the Certificate and the Bylaws and the applicable provisions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This information may not be complete in all respects and is qualified entirely by reference to the provisions of the Certificate, the Bylaws and the DGCL.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Keel’s authorized capital stock consists of 1,500,000,000 shares of common stock, par value US$0.001 per share, and 120,000,000 shares of class A preferred stock, par value US$0.001 per share (the “</w:t>
      </w:r>
      <w:r>
        <w:rPr>
          <w:rFonts w:ascii="Times New Roman" w:cs="Times New Roman" w:eastAsia="Times New Roman" w:hAnsi="Times New Roman"/>
          <w:sz w:val="18"/>
          <w:szCs w:val="18"/>
          <w:u w:val="single" w:color="auto"/>
          <w:color w:val="auto"/>
        </w:rPr>
        <w:t>Keel Preferred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of Keel Common Stock is entitled to one vote for each share on all matters submitted to a vote of the stockholders, including the election of directors. Holders of Keel Common Stock do not have cumulative voting rights in the election of directors. Accordingly, in an uncontested election, holders of a majority of the voting shares are able to elect all of the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Keel continues Bitfarms Canada’s dividend practices. Subject to preferences that may be applicable to any then outstanding holders of Keel Preferred Stock, holders of Keel Common Stock are entitled to receive dividends, if any, as may be declared from time to time by the </w:t>
      </w:r>
      <w:r>
        <w:rPr>
          <w:rFonts w:ascii="Times New Roman" w:cs="Times New Roman" w:eastAsia="Times New Roman" w:hAnsi="Times New Roman"/>
          <w:sz w:val="18"/>
          <w:szCs w:val="18"/>
          <w:u w:val="single" w:color="auto"/>
          <w:color w:val="auto"/>
        </w:rPr>
        <w:t>Keel Board</w:t>
      </w:r>
      <w:r>
        <w:rPr>
          <w:rFonts w:ascii="Times New Roman" w:cs="Times New Roman" w:eastAsia="Times New Roman" w:hAnsi="Times New Roman"/>
          <w:sz w:val="18"/>
          <w:szCs w:val="18"/>
          <w:color w:val="auto"/>
        </w:rPr>
        <w:t xml:space="preserve"> out of legally available funds. Under the DGCL, the Keel Board may declare and pay a dividend to holders of Keel Common Stock out of surplus or, if there is no surplus (as defined and computed in accordance with the DGCL), out of net profits for the fiscal year in which the dividend is declared or the immediately preceding fiscal year, or both. Dividends may be paid in cash, in Keel Common Stock or in other property. Declaration and payment of any dividend is subject to the discretion of the Keel Board. Each quarter the Keel Board will review Keel’s dividend in light of Keel’s other financial commitments before declaring the dividend. Any decision to pay dividends on the Keel Common Stock in the future will be made by the Keel Board on the basis of Keel’s earnings, financial requirements, provisions of the DGCL affecting the payment of distributions to stockholders and other factors existing at such future time.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Keel’s liquidation, dissolution or winding up, holders of Keel Common Stock will be entitled to share ratably in the net assets legally available for distribution to stockholders after the payment of all of Keel’s debts and other liabilities and the satisfaction of any liquidation preference granted to the holders of any then outstanding shares of preferred stock. If a dissolution is authorized, a certificate of dissolution must be filed with the Secretary of State of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Keel Common Stock have no pre-emptive, conversion, subscription or other rights, and there are no redemption or sinking fund provisions applicable to Keel Common Stock. The rights, preferences and privileges of the holders of Keel Common Stock is subject to and may be adversely affected by the rights of the holders of shares of any series of Keel Preferred Stock that we may designate in the future.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Fully Paid and Non-assessable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outstanding shares of Keel Common Stock are, and the Keel Common Stock to be issued pursuant to the U.S. Redomiciliation Transaction is, fully paid and non-assessable.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Certificate authorizes the Keel Board to issue Keel Preferred Stock in one or more series and to determine the preferences, limitations and relative rights of any shares of Keel Preferred Stock that it shall choose to issue, without vote or action by the stockholders, subject to certain limitations on voting and other rights set forth in the Certificate. Keel expects that the authorized Keel Preferred Stock may be used as part of its capital-raising strategy, including for future financings or other transactions intended to support its growth and financial flexibility. While the authorized Keel Preferred Stock could have the effect of delaying or preventing a change in control, it has not been authorized solely for defensive or anti-takeover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Stockholder Meetings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Certificate and the Bylaws provide that annual stockholder meetings are held at a date, place (if any) and time, as exclusively selected by the Keel Board. To the extent permitted under applicable law, we may but are not obligated to conduct meetings by remote communications, including by webcast.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the Certificate, the Bylaws and Delaware Law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provisions of the DGCL, the Certificate and the Bylaws could make the following transactions difficult: acquisition of Keel by means of a tender offer; acquisition of Keel by means of a proxy contest or otherwise; and removal of incumbent officers and directors of Keel. It is possible that these provisions could make it more difficult to accomplish or could deter transactions that stockholders may otherwise consider to be in their best interest or in the best interests of Keel, including transactions that might result in a premium over the market price for Keel Common Stock. These provisions replace and substitute applicable provisions of the Business Corporations Act (Ontario) and we cannot predict whether they will make an acquisition more or less likely compared to those provisions.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Keel to first negotiate with the Keel Board. We believe that the benefits of protection to Keel’s potential ability to negotiate with the proponent of an unfriendly or unsolicited proposal to acquire or restructure Keel outweigh the disadvantages of discouraging these proposals because negotiation of these proposals could result in an improvement of their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color w:val="auto"/>
        </w:rPr>
        <w:t>Delaware Anti-Takeover Statutes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Keel is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Keel Board, such as discouraging takeover attempts that might result in a premium over the market price of the Keel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Keel Preferred Stock makes it possible for the Keel Board to issue preferred stock with voting or other rights or preferences that could impede the success of any attempt to change control of Keel. These and other provisions may have the effect of deterring hostile takeovers or delaying changes in control or management of Keel.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Bylaws provide that a special meeting of stockholders may be called only by the Keel Board or by two or more stockholders holding at least 15% of the capital stock of Keel issued and outstanding and entitled to vote on the matter for which the special meeting is called.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Keel Board or a committee of the Keel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Unanimous Written Consent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Certificate and the Bylaws provide for the right of stockholders to act by unanimous written consent without a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Election and Removal of Directors; Filling Vacancies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Keel Board consists of not less than one nor more than 10 directors. In any elections of directors, a director nominee for the Keel Board is elected by a plurality of the votes cast with respect to such director by the shares represented and entitled to vote at a meeting of the stockholders for the election of directors at which a quorum is present, voting together as a single class. The directors of Keel are elected until the expiration of the term for which they are elected and until their respective successors are duly elected and qualified.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directors of Keel may be removed only by the affirmative vote of at least a majority of the holders of the issued and outstanding capital stock of Keel entitled to vote in the election of directors. Furthermore, any vacancy on the Keel Board, however occurring, including a vacancy resulting from an increase in the size of the board, may be filled only by a majority vote of the directors then in office, even if less than a quorum, by the sole remaining director, or by a majority of the votes cast by the stockholders. This system of electing and removing directors and filling vacancies may tend to discourage a third party from making a tender offer or otherwise attempting to obtain control of Keel, because it generally makes it more difficult for stockholders to replace a majority of the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Certificate and the Bylaws provide that, except for claims for which the U.S. federal courts have jurisdiction, unless Keel consents in writing to the selection of an alternative forum, the Court of Chancery of the State of Delaware is the exclusive forum for: any derivative action or proceeding brought on our behalf; any action asserting a breach of fiduciary duty; any action asserting a claim against us arising pursuant to the DGCL, the Certificate or the Bylaws; or any action asserting a claim against Keel that is governed by the internal affairs doctrine. Although the Certificate contains the choice of forum provision described above, it is possible that a court could find that such a provision is inapplicable for a particular claim or action or that such provision is unenforceable.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and the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amendment of any of the provisions in the Certificate requires approval by a stockholder vote by the holders of at least a majority of the voting power of the then outstanding voting stock voting as a single class. The Bylaws may be amended by the Keel Board or by the holders of at least a majority of the voting power of the then outstanding voting stock voting as a single class.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DGCL, the Certificate and the Bylaws could have the effect of discouraging others from attempting hostile takeovers and, as a consequence, they may also inhibit temporary fluctuations in the market price of Keel Common Stock that often result from actual or rumored hostile takeover attempts. These provisions may also have the effect of preventing changes in the management of Keel.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Certificate contains provisions that limit the liability of the directors and officers of Keel for monetary damages to the fullest extent permitted by Delaware law. Consequently, Keel directors and officers are not personally liable to Keel or its stockholders for monetary damages for any breach of fiduciary duties as directors, except liability for:</w:t>
      </w:r>
    </w:p>
    <w:p>
      <w:pPr>
        <w:spacing w:after="0" w:line="176"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Keel or its stockholders;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 4 of the DGCL;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Certificate and the Bylaws provide that we are required to indemnify the directors and officers of Keel, in each case to the fullest extent permitted by the DGCL. The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DGCL. We have entered into agreements with the Bitfarms Canada directors, officers and other employees and expect to enter into agreements to indemnify the Keel directors, executive officers and other employees as determined by the Keel Board.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Keel maintains directors’ and officers’ liability insurance.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Certificate and the Bylaws may discourage stockholders from bringing a lawsuit against Keel directors and officers for breach of their fiduciary duty. They may also reduce the likelihood of derivative litigation against Keel directors and officers, even though an action, if successful, might benefit Keel and its stockholders. Furthermore, a stockholder’s investment may be adversely affected to the extent that we pay the costs of settlement and damage.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Keel Common Stock do not have the right to require Keel to issue certificates for their shares. Keel only issues uncertificated shares of common stock, provided that the Keel Board may provide by resolution that some or all of the shares of any class or series of stock of Keel shall be represented by certificates.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Sinking Fund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of Keel Common Stock have no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Exchange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of Keel Common Stock are listed on the Nasdaq and the TSX under the symbol “KEEL.”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the shares of Keel Common Stock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NCIB</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U.S. Redomiciliation Transaction, on April 1 Keel assumed Bitfarms Canada’s NCIB to purchase for cancellation up to 49,943,031 Bitfarms Shares through the facilities of the TSX and/or Nasdaq, or by such other means as may be permitted by the TSX and/or Nasdaq or under applicable law, during the period starting on July 28, 2025 and ending on July 27, 2026.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Keel will continue the NCIB on the terms previously announced by Bitfarms Canada, as Keel believes that the market price of its shares may, from time to time, not fully reflect their value. Purchases will be made by Keel in accordance with the requirements of Nasdaq and/or the TSX and the price which Keel will pay for any Keel Common Stock will be the market price of any such Keel Common Stock at the time of acquisition, or such other price as may be permitted by Nasdaq and/or the TSX. The timing, price and volume of repurchases will depend on a variety of factors including corporate liquidity requirements and priorities, as well as general market conditions, the share price, regulatory requirements and limitations, and other factors.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included in this Current Report constitute “forward-looking information” and “forward-looking statements” (collectively, “forward-looking information”) that are based on expectations, estimates and projections as at the date of this Current Report and are covered by safe harbors under Canadian and United States securities laws.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further information concerning these and other risks and uncertainties, refer to the Annual Report on Form 10-K for the fiscal year ended December 31, 2025 filed by Bitfarms Canada (which is now Keel’s Annual Report). There may be other factors that cause our results to differ materially than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 Trading in the securities of Keel should be considered highly speculative.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Certificate of Incorporation of Keel Infrastructure Corp.</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tcPr>
          <w:p>
            <w:pPr>
              <w:spacing w:after="0"/>
              <w:rPr>
                <w:sz w:val="15"/>
                <w:szCs w:val="15"/>
                <w:color w:val="auto"/>
              </w:rPr>
            </w:pPr>
          </w:p>
        </w:tc>
        <w:tc>
          <w:tcPr>
            <w:tcW w:w="57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Bylaws of Keel Infrastructure Corp.</w:t>
            </w:r>
          </w:p>
        </w:tc>
        <w:tc>
          <w:tcPr>
            <w:tcW w:w="436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Supplemental  Indenture  among  Bitfarms  Ltd.,  Keel  Infrastructure  Corp.,  Computershare  Trust  Company,  N.A.  as  trustee  and</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Computershare Trust Company of Canada as Canadian co-trustee</w:t>
            </w:r>
          </w:p>
        </w:tc>
        <w:tc>
          <w:tcPr>
            <w:tcW w:w="538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Stronghold Digital Mining, Inc. Omnibus Incentive Plan (incorporated by reference from Exhibit 4.3 of Bitfarms Ltd.’s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Statement on Form S-8 filed on March 19,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Amendment No. 1 to the Stronghold Digital Mining, Inc. Omnibus Incentive Plan (incorporated by reference from Exhibit 4.4 of Bitfarms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Ltd.’s Registration Statement on Form S-8 filed on March 19,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Amendment No. 2 to the Stronghold Digital Mining, Inc. Omnibus Incentive Plan (incorporated by reference from Exhibit 4.5 of Bitfarms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Ltd.’s Registration Statement on Form S-8 filed on March 19,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Amendment No. 3 to the Stronghold Digital Mining, Inc. Omnibus Incentive Plan (incorporated by reference from Exhibit 4.6 of Bitfarms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Ltd.’s Registration Statement on Form S-8 filed on March 19,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Bitfarms Ltd. Long Term Incentive Plan as amended on March 3, 2022, January 15, 2024 and April 16, 2024 (incorporated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from Exhibit 4.3 from Bitfarms Ltd.’s Registration Statement on Form S-8 filed on April 22, 2024)</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Keel Infrastructure Corp. - Amended and Restated Long-Term Performance Incentive Plan (formerly Bitfarms Ltd. Long-Term Incentive</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Plan)</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Form of Indemnification Agreement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Closing Press Release</w:t>
            </w:r>
          </w:p>
        </w:tc>
        <w:tc>
          <w:tcPr>
            <w:tcW w:w="8500" w:type="dxa"/>
            <w:vAlign w:val="bottom"/>
            <w:tcBorders>
              <w:bottom w:val="single" w:sz="8" w:color="CCEEFF"/>
            </w:tcBorders>
            <w:gridSpan w:val="9"/>
            <w:shd w:val="clear" w:color="auto" w:fill="CCEEFF"/>
          </w:tcPr>
          <w:p>
            <w:pPr>
              <w:spacing w:after="0"/>
              <w:rPr>
                <w:sz w:val="17"/>
                <w:szCs w:val="17"/>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tab/>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Gagnon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Keel Infrastructure Corp. (the “Corporation”), a corporation organized and existing under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does hereby certify as follows:</w:t>
      </w:r>
    </w:p>
    <w:p>
      <w:pPr>
        <w:spacing w:after="0" w:line="207" w:lineRule="exact"/>
        <w:rPr>
          <w:sz w:val="20"/>
          <w:szCs w:val="20"/>
          <w:color w:val="auto"/>
        </w:rPr>
      </w:pPr>
    </w:p>
    <w:p>
      <w:pPr>
        <w:ind w:left="660" w:hanging="4"/>
        <w:spacing w:after="0" w:line="282" w:lineRule="auto"/>
        <w:tabs>
          <w:tab w:leader="none" w:pos="9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Keel Infrastructure Corp. The original certificate of incorporation of the Corporation was filed with the office of the Secretary of State of the State of Delaware on February 5, 2026.</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in accordance with the provisions of Sections 242 and 245 of the DGCL.</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of Incorporation of the Corporation is restated to read in its entirety,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name of the Corporation is Keel Infrastructure Corp. (the “Corporation”).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address of the registered office of the Corporation in the State of Delaware is 850 New Burton Road, Suite 201, Dover, County of Kent, 19904. The name of its registered agent at that address is Cogency Global Inc.</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purpose of the Corporation is to engage in any lawful act or activity for which a corporation may be organized under the General Corporation Law of the State of Delaware as set forth in Title 8 of the Delaware Code (as amended from time to time, the “DGCL”).</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total number of shares of stock which the Corporation shall have authority to issue is 1,620,000,000 of which the Corporation shall have authority to issue 1,500,000,000 shares of Common Stock, each having a par value of $0.001, and 120,000,000 shares of Class A Preferred Stock, each having a par value of $0.001.</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of Directors is authorized to issue all or any shares of Class A Preferred Stock, in one or more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color w:val="auto"/>
        </w:rPr>
        <w:t>The Class A Preferred Stock, issuable in a series, shall have attached thereto the following rights, privileges, restrictions and conditions:</w:t>
      </w:r>
    </w:p>
    <w:p>
      <w:pPr>
        <w:spacing w:after="0" w:line="225" w:lineRule="exact"/>
        <w:rPr>
          <w:sz w:val="20"/>
          <w:szCs w:val="20"/>
          <w:color w:val="auto"/>
        </w:rPr>
      </w:pPr>
    </w:p>
    <w:p>
      <w:pPr>
        <w:jc w:val="both"/>
        <w:ind w:left="1160" w:hanging="4"/>
        <w:spacing w:after="0" w:line="258"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Preferred Stock may be issued at any time or from time to time in one or more series. Subject to the provisions set out herein, the Board of Directors shall, before the issue thereof, fix the number of shares in, and determine the designation, rights, privileges, restrictions and conditions attaching to the shares of each series of Class A Preferred Stock, as shall be stated and expressed in the resolution or resolutions adopted by the Board of Directors providing for the issuance of such class or series and as may be permitted by the DGCL.</w:t>
      </w:r>
    </w:p>
    <w:p>
      <w:pPr>
        <w:spacing w:after="0" w:line="183" w:lineRule="exact"/>
        <w:rPr>
          <w:rFonts w:ascii="Times New Roman" w:cs="Times New Roman" w:eastAsia="Times New Roman" w:hAnsi="Times New Roman"/>
          <w:sz w:val="18"/>
          <w:szCs w:val="18"/>
          <w:color w:val="auto"/>
        </w:rPr>
      </w:pPr>
    </w:p>
    <w:p>
      <w:pPr>
        <w:jc w:val="both"/>
        <w:ind w:left="1160" w:hanging="4"/>
        <w:spacing w:after="0" w:line="261" w:lineRule="auto"/>
        <w:tabs>
          <w:tab w:leader="none" w:pos="14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Preferred Stock is entitled to priority over the Common Stock and all other shares ranking junior to the Class A Preferred Stock with respect to the payment of dividends and the distribution of assets of the Corporation in the event of any liquidation, dissolution or winding up of the Corporation or other distribution of assets of the Corporation among its stockholders for the purpose of winding up its affairs.</w:t>
      </w:r>
    </w:p>
    <w:p>
      <w:pPr>
        <w:spacing w:after="0" w:line="179" w:lineRule="exact"/>
        <w:rPr>
          <w:rFonts w:ascii="Times New Roman" w:cs="Times New Roman" w:eastAsia="Times New Roman" w:hAnsi="Times New Roman"/>
          <w:sz w:val="18"/>
          <w:szCs w:val="18"/>
          <w:color w:val="auto"/>
        </w:rPr>
      </w:pPr>
    </w:p>
    <w:p>
      <w:pPr>
        <w:jc w:val="both"/>
        <w:ind w:left="1160" w:hanging="4"/>
        <w:spacing w:after="0" w:line="261" w:lineRule="auto"/>
        <w:tabs>
          <w:tab w:leader="none" w:pos="14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of Class A Preferred Stock will rank on parity with every other series of Class A Preferred Stock with respect to the priority in the payment of dividends and in the distribution of assets of the Corporation in the event of any liquidation, dissolution or winding up of the Corporation or other distribution of assets of the Corporation among its stockholders for the purpose of winding up its affairs.</w:t>
      </w:r>
    </w:p>
    <w:p>
      <w:pPr>
        <w:spacing w:after="0" w:line="179" w:lineRule="exact"/>
        <w:rPr>
          <w:rFonts w:ascii="Times New Roman" w:cs="Times New Roman" w:eastAsia="Times New Roman" w:hAnsi="Times New Roman"/>
          <w:sz w:val="18"/>
          <w:szCs w:val="18"/>
          <w:color w:val="auto"/>
        </w:rPr>
      </w:pPr>
    </w:p>
    <w:p>
      <w:pPr>
        <w:jc w:val="both"/>
        <w:ind w:left="1160" w:hanging="4"/>
        <w:spacing w:after="0" w:line="266" w:lineRule="auto"/>
        <w:tabs>
          <w:tab w:leader="none" w:pos="14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series of Class A Preferred Stock may also be given such other preferences, not inconsistent with the provisions hereof, over the common shares and any other shares of the Corporation ranking junior to the Class A Preferred Stock, as may be determined by the Board of Directors in designating a particular series of Class A Preferred Stock.</w:t>
      </w:r>
    </w:p>
    <w:p>
      <w:pPr>
        <w:spacing w:after="0" w:line="175" w:lineRule="exact"/>
        <w:rPr>
          <w:rFonts w:ascii="Times New Roman" w:cs="Times New Roman" w:eastAsia="Times New Roman" w:hAnsi="Times New Roman"/>
          <w:sz w:val="18"/>
          <w:szCs w:val="18"/>
          <w:color w:val="auto"/>
        </w:rPr>
      </w:pPr>
    </w:p>
    <w:p>
      <w:pPr>
        <w:jc w:val="both"/>
        <w:ind w:left="1160" w:hanging="4"/>
        <w:spacing w:after="0" w:line="254" w:lineRule="auto"/>
        <w:tabs>
          <w:tab w:leader="none" w:pos="14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liquidation, dissolution or winding up of the Corporation or other distribution of assets of the Corporation among its stockholders for the purpose of winding up its affairs, the holders of the shares of Class A Preferred Stock will be entitled to receive from the assets of the Corporation any cumulative dividends, whether or not declared, or declared non-cumulative dividends or amounts payable on a return of capital which are not paid in full in respect of any shares of Class A Preferred Stock, before any amount is paid or any assets of the Corporation are distributed to the holders of any shares of Common Stock or shares of any other class ranking junior to the Class A Preferred Stock. After payment to the holders of the shares of the Class A Preferred Stock of the amount so payable to them as provided above, they will not be entitled to share in any further distribution of assets of the Corporation among its stockholders for the purpose of winding up its affairs.</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 w:name="page14"/>
    <w:bookmarkEnd w:id="13"/>
    <w:p>
      <w:pPr>
        <w:ind w:left="2280" w:hanging="4"/>
        <w:spacing w:after="0" w:line="282" w:lineRule="auto"/>
        <w:tabs>
          <w:tab w:leader="none" w:pos="25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each series of Class A Preferred Stock will be entitled to receive dividends as and when declared by the Board of Directors in respect of such series.</w:t>
      </w:r>
    </w:p>
    <w:p>
      <w:pPr>
        <w:spacing w:after="0" w:line="161" w:lineRule="exact"/>
        <w:rPr>
          <w:rFonts w:ascii="Times New Roman" w:cs="Times New Roman" w:eastAsia="Times New Roman" w:hAnsi="Times New Roman"/>
          <w:sz w:val="18"/>
          <w:szCs w:val="18"/>
          <w:color w:val="auto"/>
        </w:rPr>
      </w:pPr>
    </w:p>
    <w:p>
      <w:pPr>
        <w:jc w:val="both"/>
        <w:ind w:left="2280" w:hanging="4"/>
        <w:spacing w:after="0" w:line="266" w:lineRule="auto"/>
        <w:tabs>
          <w:tab w:leader="none" w:pos="2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Preferred Stock may be convertible into any other class of shares of the Corporation, including convertible into another series of Class A Preferred Stock, on such terms as may be determined by the Board of Directors in designating a particular series of Preferred Stock.</w:t>
      </w:r>
    </w:p>
    <w:p>
      <w:pPr>
        <w:spacing w:after="0" w:line="175" w:lineRule="exact"/>
        <w:rPr>
          <w:rFonts w:ascii="Times New Roman" w:cs="Times New Roman" w:eastAsia="Times New Roman" w:hAnsi="Times New Roman"/>
          <w:sz w:val="18"/>
          <w:szCs w:val="18"/>
          <w:color w:val="auto"/>
        </w:rPr>
      </w:pPr>
    </w:p>
    <w:p>
      <w:pPr>
        <w:ind w:left="2280" w:hanging="4"/>
        <w:spacing w:after="0" w:line="282" w:lineRule="auto"/>
        <w:tabs>
          <w:tab w:leader="none" w:pos="25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of Class A Preferred Stock may be redeemable by the Corporation, on such terms as may be determined by the Board of Directors.</w:t>
      </w:r>
    </w:p>
    <w:p>
      <w:pPr>
        <w:spacing w:after="0" w:line="161" w:lineRule="exact"/>
        <w:rPr>
          <w:rFonts w:ascii="Times New Roman" w:cs="Times New Roman" w:eastAsia="Times New Roman" w:hAnsi="Times New Roman"/>
          <w:sz w:val="18"/>
          <w:szCs w:val="18"/>
          <w:color w:val="auto"/>
        </w:rPr>
      </w:pPr>
    </w:p>
    <w:p>
      <w:pPr>
        <w:jc w:val="both"/>
        <w:ind w:left="2280" w:hanging="4"/>
        <w:spacing w:after="0" w:line="256" w:lineRule="auto"/>
        <w:tabs>
          <w:tab w:leader="none" w:pos="25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the Class A Preferred Stock to add to, change or remove any right, privilege, restriction or condition attaching to the Class A Preferred Stock as a class or in respect of any other matter requiring the consent of the holders of the Class A Preferred Stock may be given in such manner as may then be required by law, subject to a minimum requirement that such approval be given by resolution signed by all the holders of the Class A Preferred Stock or passed by the affirmative vote of at least two-thirds (2/3) of the votes cast at a meeting of the holders of the Class A Preferred Stock duly called for that purpose.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The name and mailing address of the Sole Incorporator is as follows:</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300" w:type="dxa"/>
            <w:vAlign w:val="bottom"/>
          </w:tcPr>
          <w:p>
            <w:pPr>
              <w:spacing w:after="0"/>
              <w:rPr>
                <w:sz w:val="17"/>
                <w:szCs w:val="17"/>
                <w:color w:val="auto"/>
              </w:rPr>
            </w:pPr>
          </w:p>
        </w:tc>
        <w:tc>
          <w:tcPr>
            <w:tcW w:w="51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8"/>
              </w:rPr>
              <w:t>Address</w:t>
            </w:r>
          </w:p>
        </w:tc>
      </w:tr>
      <w:tr>
        <w:trPr>
          <w:trHeight w:val="20"/>
        </w:trPr>
        <w:tc>
          <w:tcPr>
            <w:tcW w:w="1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2026 Reorganization Trust</w:t>
            </w:r>
          </w:p>
        </w:tc>
        <w:tc>
          <w:tcPr>
            <w:tcW w:w="51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301-100 Adelaide Street West Toronto, ON M5H 4H1</w:t>
            </w:r>
          </w:p>
        </w:tc>
      </w:tr>
    </w:tbl>
    <w:p>
      <w:pPr>
        <w:spacing w:after="0" w:line="19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5580" w:right="580" w:hanging="3304"/>
        <w:spacing w:after="0" w:line="783" w:lineRule="auto"/>
        <w:tabs>
          <w:tab w:leader="none" w:pos="25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left="2280" w:hanging="4"/>
        <w:spacing w:after="0" w:line="261" w:lineRule="auto"/>
        <w:tabs>
          <w:tab w:leader="none" w:pos="25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consist of not less than one (1) nor more than ten (10) members, each of whom shall be a natural person, the exact number of which shall initially be fixed by the Incorporator and thereafter from time to time by the Board of Directors. Election of directors need not be by written ballot unless the bylaws of the Corporation (the “Bylaws”) so provide.</w:t>
      </w:r>
    </w:p>
    <w:p>
      <w:pPr>
        <w:spacing w:after="0" w:line="179" w:lineRule="exact"/>
        <w:rPr>
          <w:rFonts w:ascii="Times New Roman" w:cs="Times New Roman" w:eastAsia="Times New Roman" w:hAnsi="Times New Roman"/>
          <w:sz w:val="18"/>
          <w:szCs w:val="18"/>
          <w:color w:val="auto"/>
        </w:rPr>
      </w:pPr>
    </w:p>
    <w:p>
      <w:pPr>
        <w:jc w:val="both"/>
        <w:ind w:left="2280" w:hanging="4"/>
        <w:spacing w:after="0" w:line="253" w:lineRule="auto"/>
        <w:tabs>
          <w:tab w:leader="none" w:pos="25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Any amendment, repeal or elimination of this Article SIXTH shall not affect its application with respect to an act or omission by a director or Officer occurring before such amendment, repeal or elimination. All references in this Article SIXTH and Article SEVENTH to an “Officer” shall mean only a person who, at the time of an act or omission as to which liability is asserted, falls within the meaning of the term “officer,” as defined in Section 102(b)(7) of the DGCL.</w:t>
      </w:r>
    </w:p>
    <w:p>
      <w:pPr>
        <w:spacing w:after="0" w:line="194" w:lineRule="exact"/>
        <w:rPr>
          <w:rFonts w:ascii="Times New Roman" w:cs="Times New Roman" w:eastAsia="Times New Roman" w:hAnsi="Times New Roman"/>
          <w:sz w:val="18"/>
          <w:szCs w:val="18"/>
          <w:color w:val="auto"/>
        </w:rPr>
      </w:pPr>
    </w:p>
    <w:p>
      <w:pPr>
        <w:jc w:val="both"/>
        <w:ind w:left="2280" w:hanging="4"/>
        <w:spacing w:after="0" w:line="258" w:lineRule="auto"/>
        <w:tabs>
          <w:tab w:leader="none" w:pos="2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the Bylaws; provided, however, that no Bylaws hereafter adopted, amended or repealed by the stockholders shall invalidate any prior act of the directors that would have been valid if such Bylaws had not been so adopted, amended or repealed.</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provided, however,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SEVENTH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Article SEVENTH.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Corporation may, to the extent authorized from time to time by the Board of Directors, provide rights to indemnification and to the advancement of expenses to employees and agents of the Corporation similar to those conferred in this Article SEVENTH to directors and officers of the Corporation.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the advancement of expenses conferred in this Article SEVENTH shall not be exclusive of any other right which any person may have or hereafter acquire under this Certificate of Incorporation, the Bylaws of the Corporation, any statute, agreement, vote of stockholders or disinterested directors or otherwise.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right to indemnification or to advancement of expenses arising under this Article SEVENTH shall not be eliminated or impaired by an amendment to, or repeal or elimination of, this Article SEVENTH after the occurrence of the act or omission that is the subject of any proceeding for which indemnification or advancement of expenses is sought.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Meetings of stockholders may be held within or without the State of Delaware, as the Bylaws may provide. Any action required or permitted to be taken at any meeting of stockholders of the Corporation may be taken without a meeting, without prior notice and without a vote, if a consent or consents, setting forth the action so taken, shall be signed by the holders of all outstanding stock that would be necessary to authorize or take such action at a meeting at which all shares entitled to vote thereon were present and voted, as the Bylaws may provide. The books and records of the Corporation may be kept (subject to any provision contained in the DGCL) outside the State of Delaware at such place or places as may be designated from time to time by the Board of Directors or in the Bylaws.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that notwithstanding any other provision of this Certificate of Incorporation (and in addition to any vote that may be required by law), the affirmative vote of the holders of at least a majority of the voting power of the shares entitled to vote at an election of directors shall be required to amend, alter, change or repeal, or to adopt any provision as part of this Certificate of Incorporation.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In furtherance and not in limitation of the powers conferred upon it by the laws of the State of Delaware, the Board of Directors shall have the power to adopt, amend, alter or repeal the Corporation’s Bylaws. The affirmative vote of at least a majority of the entire Board of Directors shall be required to adopt, amend, alter or repeal the Corporation’s Bylaws. The Corporation’s Bylaws also may be adopted, amended, altered or repealed by the affirmative vote of the holders of a majority of the outstanding capital stock entitled to vote thereon.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executed on its behalf this 31st day of March,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Rachel Silverstein</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BYLAWS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KEEL INFRASTRUCTURE CORP.</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Effective 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9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ARTICLE I</w:t>
            </w: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OFFICES</w:t>
            </w: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Registered Office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Offices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shd w:val="clear" w:color="auto" w:fill="CCEEFF"/>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II</w:t>
            </w: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MEETINGS OF STOCKHOLDERS</w:t>
            </w: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Place of Meetings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Annual Meetings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Adjournments and Postponements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Proxies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Stockholders in Lieu of Meeting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 Date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Ledger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Meetings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Inspectors of Election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Nature of Business at Meetings of Stockholders.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Nomination of Directors.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ARTICLE III</w:t>
            </w: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DIRECTORS</w:t>
            </w: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Number and Election of Directors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Vacancies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Duties and Powers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Resignations and Removals of Directors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of the Board by Written Consent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Meetings by Means of Conference Telephone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Subcommittees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Interested Directors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8"/>
              </w:rPr>
              <w:t>ARTICLE IV</w:t>
            </w:r>
          </w:p>
        </w:tc>
        <w:tc>
          <w:tcPr>
            <w:tcW w:w="23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EMERGENCY BYLAW PROVISIONS</w:t>
            </w:r>
          </w:p>
        </w:tc>
        <w:tc>
          <w:tcPr>
            <w:tcW w:w="23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Emergency Provisions.</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Emergency Powers</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Meetings of the Board of Directors and Committees</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Manner of Acting.</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Officers’ Succession.</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Office.</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Actions..</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 Amendment.</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8"/>
              </w:rPr>
              <w:t>ARTICLE V</w:t>
            </w:r>
          </w:p>
        </w:tc>
        <w:tc>
          <w:tcPr>
            <w:tcW w:w="23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OFFICERS</w:t>
            </w:r>
          </w:p>
        </w:tc>
        <w:tc>
          <w:tcPr>
            <w:tcW w:w="23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Voting Securities Owned by the Corporation</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Counsel</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Treasurer</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Officers</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ARTICLE VI</w:t>
            </w:r>
          </w:p>
        </w:tc>
        <w:tc>
          <w:tcPr>
            <w:tcW w:w="23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STOCK</w:t>
            </w:r>
          </w:p>
        </w:tc>
        <w:tc>
          <w:tcPr>
            <w:tcW w:w="23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of Stock.</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Signatures</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Lost Certificates</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Transfers</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 Record Date</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w:t>
            </w:r>
          </w:p>
        </w:tc>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Record Owners</w:t>
            </w:r>
          </w:p>
        </w:tc>
        <w:tc>
          <w:tcPr>
            <w:tcW w:w="2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and Registry Agents</w:t>
            </w:r>
          </w:p>
        </w:tc>
        <w:tc>
          <w:tcPr>
            <w:tcW w:w="2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VII</w:t>
            </w: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NOTICES</w:t>
            </w: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Waivers of Notice</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VIII</w:t>
            </w: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Disbursements</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Fiscal Year</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Seal</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IX</w:t>
            </w: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INDEMNIFICATION</w:t>
            </w: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Indemnify in Actions, Suits or Proceedings other than Those by or in the Right of the Corporation</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to Indemnify in Actions, Suits or Proceedings by or in the Right of the Corporation</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of Indemnification</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 Faith Defined</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by a Court</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 Payable in Advance</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Nonexclusivity of Indemnification and Advancement of Expenses</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Definitions</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Survival of Indemnification and Advancement of Expenses</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Indemnification of Employees and Agents</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X</w:t>
            </w: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FORUM FOR ADJUDICATION OF CERTAIN DISPUTES</w:t>
            </w: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Forum for Adjudication of Certain Disputes</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XI</w:t>
            </w: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AMENDMENTS</w:t>
            </w:r>
          </w:p>
        </w:tc>
        <w:tc>
          <w:tcPr>
            <w:tcW w:w="14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Amendments</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Board of Directors</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called the "Corporation")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shall be 850 New Burton Road, Suite 201 in the City of Dover, County of Kent, State of Delaware, 19904.</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"DGCL").</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or by the certificate of incorporation of the Corporation, as amended and restated from time to time (the "Certificate of Incorporation"), Special Meetings of Stockholders, for any purpose or purposes, may be called by either (i) the Chairman of the Board of Directors, if there be one, or (ii) the President, (iii) any Vice President, if there be one, or (iv) the Secretary, if there be one, and shall be called by any such officer at the request in writing of (i) the Board of Directors, (ii) a committee of the Board of Directors that has been duly designated by the Board of Directors and whose powers and authority include the power to call such meetings or (iii) stockholders owning at least fifteen percent (15%) of the capital stock (the "Requisite Percentage") of the Corporation issued and outstanding and entitled to vote on the matter for which such Special Meeting of Stockholders is called (a "Special Meeting Request"). A Special Meeting Request must be delivered to the attention of the Secretary at the principal executive offices of the Corporation. A Special Meeting Request shall be valid only if it is signed and dated by each stockholder of record submitting the Special Meeting Request, or such stockholder's duly authorized agent (each, a "Requesting Stockholder"), collectively representing the Requisite Percentage, and includes (A) a statement of the specific purpose(s) of the Special Meeting and the reasons for conducting such business at the Special Meeting; (B) as to any director nominations proposed to be presented at the Special Meeting, and any matter (other than a director nomination) proposed to be conducted at the Special Meeting, and as to each Requesting Stockholder, the information, statements, representations, agreements and other documents that would be required to be set forth in or included with a stockholder's notice of a nomination pursuant to Section 16 of this Article II; (C) a representation that each Requesting Stockholder, or one or more representatives of each such stockholder, intends to appear in person or by proxy at the Special Meeting to present the proposal(s) or business to be brought before the Special Meeting; (D) an agreement by each Requesting Stockholder to notify the Corporation promptly in the event of any disposition prior to the record date for the Special Meeting of shares of common stock of the Corporation owned of record and an acknowledgment that any such disposition shall be deemed to be a revocation of such Special Meeting Request with respect to such disposed shares; (E) the number of shares of common stock owned of record by each such Requesting Stockholder; and (F) documentary evidence that the Requesting Stockholders in the aggregate own the Requisite Percentage as of the date on which the Special Meeting Request is delivered to the Secretary. In addition, the Requesting Stockholders shall (x) further update and supplement the information provided in the Special Meeting Request, if necessary, so that all information provided or required to be provided therein shall be true and correct as of the record date for the Special Meeting, and such update and supplement (or a written certification that no such updates or supplements are necessary and that the information previously provided remains true and correct as of the record date) shall be delivered to or be mailed and received by the Secretary at the principal executive offices of the Corporation not later than five business days after the record date for the Special Meeting and (y) promptly provide any other information reasonably requested by the Corporation.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both"/>
        <w:ind w:firstLine="1304"/>
        <w:spacing w:after="0" w:line="252" w:lineRule="auto"/>
        <w:tabs>
          <w:tab w:leader="none" w:pos="16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Request shall not be valid, and a Special Meeting requested by stockholders shall not be held, if (A) the Special Meeting Request does not comply with this Section 3; (B) the Special Meeting Request relates to an item of business that is not a proper subject for stockholder action under applicable law (as determined in good faith by the Board of Directors); (C) the Special Meeting Request is delivered during the period commencing one-hundred twenty (120) days prior to the first anniversary of the date of the immediately preceding Annual Meeting and ending on the earlier of (x) the date of the next Annual Meeting and (y) thirty (30) days after the first anniversary of the date of the previous Annual Meeting; (D) an identical or substantially similar item (as determined in good faith by the Board of Directors, a "Similar Item"), other than the election of directors, was presented at an Annual Meeting or Special Meeting held not more than twelve (12) months before the Special Meeting Request is delivered; (E) a Similar Item was presented at an Annual Meeting or Special Meeting held not more than one-hundred twenty (120) days before the Special Meeting Request is delivered (and, for purposes of this clause (E), the election of directors shall be deemed to be a "Similar Item" with respect to all items of business involving the election or removal of directors, changing the size of the Board of Directors and the filling of vacancies and/or newly created directorships resulting from any increase in the authorized number of directors); (F) a Similar Item is included in the Corporation's notice of meeting as an item of business to be brought before an Annual Meeting or Special Meeting that has been called but not yet held or that is called for a date within one-hundred twenty (120) days of the receipt by the Corporation of a Special Meeting Request; or (G) the Special Meeting Request was made in a manner that involved a violation of Regulation 14A under the Securities Exchange Act of 1934, as amended (the "Exchange Act"), or other applicable law.</w:t>
      </w:r>
    </w:p>
    <w:p>
      <w:pPr>
        <w:spacing w:after="0" w:line="197" w:lineRule="exact"/>
        <w:rPr>
          <w:rFonts w:ascii="Times New Roman" w:cs="Times New Roman" w:eastAsia="Times New Roman" w:hAnsi="Times New Roman"/>
          <w:sz w:val="18"/>
          <w:szCs w:val="18"/>
          <w:color w:val="auto"/>
        </w:rPr>
      </w:pPr>
    </w:p>
    <w:p>
      <w:pPr>
        <w:jc w:val="both"/>
        <w:ind w:left="660" w:firstLine="2264"/>
        <w:spacing w:after="0" w:line="266" w:lineRule="auto"/>
        <w:tabs>
          <w:tab w:leader="none" w:pos="31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called pursuant to this Section 3 shall be held at such place, on such date, and at such time as the Board of Directors shall fix; provided, however, that the Special Meeting shall not be held more than one-hundred twenty (120) days after receipt by the Corporation of a valid Special Meeting Request.</w:t>
      </w:r>
    </w:p>
    <w:p>
      <w:pPr>
        <w:spacing w:after="0" w:line="175" w:lineRule="exact"/>
        <w:rPr>
          <w:rFonts w:ascii="Times New Roman" w:cs="Times New Roman" w:eastAsia="Times New Roman" w:hAnsi="Times New Roman"/>
          <w:sz w:val="18"/>
          <w:szCs w:val="18"/>
          <w:color w:val="auto"/>
        </w:rPr>
      </w:pPr>
    </w:p>
    <w:p>
      <w:pPr>
        <w:jc w:val="both"/>
        <w:ind w:left="660" w:firstLine="2264"/>
        <w:spacing w:after="0" w:line="258" w:lineRule="auto"/>
        <w:tabs>
          <w:tab w:leader="none" w:pos="32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Stockholders may revoke a Special Meeting Request by written revocation delivered to the Secretary at the principal executive offices of the Corporation at any time prior to the Special Meeting. If, at any point following the earliest dated Special Meeting Request, the unrevoked requests from Requesting Stockholders (whether by specific written revocation or deemed revocation pursuant to clause (D) of Section 3(a), represent in the aggregate less than the Requisite Percentage, the Board of Directors, in its discretion, may cancel the Special Meeting.</w:t>
      </w:r>
    </w:p>
    <w:p>
      <w:pPr>
        <w:spacing w:after="0" w:line="183" w:lineRule="exact"/>
        <w:rPr>
          <w:rFonts w:ascii="Times New Roman" w:cs="Times New Roman" w:eastAsia="Times New Roman" w:hAnsi="Times New Roman"/>
          <w:sz w:val="18"/>
          <w:szCs w:val="18"/>
          <w:color w:val="auto"/>
        </w:rPr>
      </w:pPr>
    </w:p>
    <w:p>
      <w:pPr>
        <w:jc w:val="both"/>
        <w:ind w:left="660" w:firstLine="2264"/>
        <w:spacing w:after="0" w:line="254" w:lineRule="auto"/>
        <w:tabs>
          <w:tab w:leader="none" w:pos="3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a Special Meeting has been requested by the Requesting Stockholders representing in the aggregate at the least the Requisite Percentage, multiple Special Meeting Requests delivered to the Secretary will be considered together only if (A) each Special Meeting Request identifies substantially the same purpose or purposes of the Special Meeting and substantially the same matters proposed to be acted on at the Special Meeting, in each case as determined by the Board of Directors (which, if such purpose is the election or removal of directors, changing the size of the Board of Directors and/or the filling of vacancies and/or newly created directorships resulting from any increase in the authorized number of directors, will mean that the exact same person or persons are proposed for election or removal in each relevant Stockholder Meeting Request), and (B) such Special Meeting Requests have been dated and delivered to the Secretary within sixty (60) days of the earliest dated Special Meeting Request.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left="660" w:firstLine="2264"/>
        <w:spacing w:after="0" w:line="266" w:lineRule="auto"/>
        <w:tabs>
          <w:tab w:leader="none" w:pos="32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Requesting Stockholders appear or send a duly authorized agent to present the business to be presented for consideration specified in the Special Meeting Request, the Corporation need not present such business for a vote at the Special Meeting, notwithstanding that proxies in respect of such matter may have been received by the Corporation.</w:t>
      </w:r>
    </w:p>
    <w:p>
      <w:pPr>
        <w:spacing w:after="0" w:line="175" w:lineRule="exact"/>
        <w:rPr>
          <w:rFonts w:ascii="Times New Roman" w:cs="Times New Roman" w:eastAsia="Times New Roman" w:hAnsi="Times New Roman"/>
          <w:sz w:val="18"/>
          <w:szCs w:val="18"/>
          <w:color w:val="auto"/>
        </w:rPr>
      </w:pPr>
    </w:p>
    <w:p>
      <w:pPr>
        <w:jc w:val="both"/>
        <w:ind w:left="660" w:firstLine="2264"/>
        <w:spacing w:after="0" w:line="266" w:lineRule="auto"/>
        <w:tabs>
          <w:tab w:leader="none" w:pos="3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transacted at any Special Meeting called pursuant to this Section 3 shall be limited to (A) the purpose(s) stated in the valid Special Meeting Request received from the Requisite Percentage of record holders, and (B) any additional matters that the Board of Directors determines to include in the Corporation's notice of the Special Meeting.</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Adjournments and Postponements</w:t>
      </w:r>
      <w:r>
        <w:rPr>
          <w:rFonts w:ascii="Times New Roman" w:cs="Times New Roman" w:eastAsia="Times New Roman" w:hAnsi="Times New Roman"/>
          <w:sz w:val="18"/>
          <w:szCs w:val="18"/>
          <w:color w:val="auto"/>
        </w:rPr>
        <w:t>. Any meeting of the stockholders may be adjourned or postponed from time to time by the chairman of such meeting or by the Board of Directors, without the need for approval thereof by stockholders to reconvene or convene, respectively at the same or some other place. Notice need not be given of any such adjourned or postponed meeting (including an adjournment taken to address a technical failure to convene or continue a meeting using remote communication) if the time and place, if any, thereof, and the means of remote communications, if any, by which stockholders and proxy holders may be deemed to be present in person and vote at such adjourned or postponed meeting are (i) with respect to an adjourned meeting,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given in accordance with Section 4 of this Article II, or (ii) with respect to a postponed meeting, are publicly announced. At the adjourned or postponed meeting, the Corporation may transact any business which might have been transacted at the original meeting. If the adjournment or postponement is for more than thirty (30) days, notice of the adjourned or postponed meeting in accordance with the requirements of Section 4 hereof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Section 11 of this Article II, and shall give notice of the adjourned or postponed meeting to each stockholder of record entitled to vote at such adjourned or postponed meeting as of the record date fixed for notice of such adjourned or postponed meeting.</w:t>
      </w:r>
    </w:p>
    <w:p>
      <w:pPr>
        <w:spacing w:after="0" w:line="19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Unless otherwise required by the DGCL or other applicable law or the Certificate of Incorporation, the holders of at least one-third (1/3)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5 of this Article II, until a quorum shall be present or represented.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Unless otherwise required by law, the Certificate of Incorporation or these Bylaws, or permitted by the 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Unless otherwise provided in the Certificate of Incorporation, and subject to Section 11(a) of this Article II, each stockholder represented at a meeting of the stockholders shall be entitled to cast one (1) vote for each share of the capital stock entitled to vote thereat held by such stockholder. Such votes may be cast in person or by proxy as provided in Section 8 of this Article II. The Board of Directors, in its discretion, or the chairman of a meeting of the stockholders, in his or her discretion, may require that any votes cast at such meeting shall be cast by written ballot.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a revocation of the proxy or a new proxy bearing a later date. Without limiting the manner in which a stockholder may authorize another person or persons to act for such stockholder as proxy, the following shall constitute a valid means by which a stockholder may grant such authority:</w:t>
      </w:r>
    </w:p>
    <w:p>
      <w:pPr>
        <w:spacing w:after="0" w:line="192" w:lineRule="exact"/>
        <w:rPr>
          <w:sz w:val="20"/>
          <w:szCs w:val="20"/>
          <w:color w:val="auto"/>
        </w:rPr>
      </w:pPr>
    </w:p>
    <w:p>
      <w:pPr>
        <w:jc w:val="both"/>
        <w:ind w:left="660" w:right="660" w:firstLine="2264"/>
        <w:spacing w:after="0" w:line="266" w:lineRule="auto"/>
        <w:tabs>
          <w:tab w:leader="none" w:pos="3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such stockholder's authorized officer, director, employee or agent, may execute a document, as such term is defined in Section 116(a) of the DGCL, authorizing another person or persons to act for such stockholder as proxy.</w:t>
      </w:r>
    </w:p>
    <w:p>
      <w:pPr>
        <w:spacing w:after="0" w:line="175" w:lineRule="exact"/>
        <w:rPr>
          <w:rFonts w:ascii="Times New Roman" w:cs="Times New Roman" w:eastAsia="Times New Roman" w:hAnsi="Times New Roman"/>
          <w:sz w:val="18"/>
          <w:szCs w:val="18"/>
          <w:color w:val="auto"/>
        </w:rPr>
      </w:pPr>
    </w:p>
    <w:p>
      <w:pPr>
        <w:jc w:val="both"/>
        <w:ind w:left="660" w:right="640" w:firstLine="2264"/>
        <w:spacing w:after="0" w:line="256" w:lineRule="auto"/>
        <w:tabs>
          <w:tab w:leader="none" w:pos="32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spacing w:after="0" w:line="187" w:lineRule="exact"/>
        <w:rPr>
          <w:rFonts w:ascii="Times New Roman" w:cs="Times New Roman" w:eastAsia="Times New Roman" w:hAnsi="Times New Roman"/>
          <w:sz w:val="18"/>
          <w:szCs w:val="18"/>
          <w:color w:val="auto"/>
        </w:rPr>
      </w:pPr>
    </w:p>
    <w:p>
      <w:pPr>
        <w:jc w:val="both"/>
        <w:ind w:left="660" w:right="660" w:firstLine="2264"/>
        <w:spacing w:after="0" w:line="266" w:lineRule="auto"/>
        <w:tabs>
          <w:tab w:leader="none" w:pos="33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copy, facsimile telecommunication or other reliable reproduction of the document (including any electronic transmission) authorizing another person or persons to act as proxy for a stockholder may be substituted or used in lieu of the original document for any and all purposes for which the original document could be used; provided, however, that such copy, facsimile telecommunication or other reproduction shall be a complete reproduction of the entire original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 Unless otherwise provided in the Certificate of Incorporation, any action required or permitted to be taken at any Annual or Special Meeting of Stockholders of the Corporation may be taken without a meeting, without prior notice and without a vote, if a consent or consents, setting forth the action so taken, shall be signed by the holders of all outstanding stock that would be necessary to authorize or take such action at a meeting at which all shares entitled to vote thereon were present and voted and shall be delivered to the Corporation in accordance with Section 228(d) of the DGCL. A consent must be set forth in writing or in an electronic transmission. No consent shall be effective to take the corporate action referred to therein unless consents signed by a sufficient number of holders to take action are delivered to the Corporation in the manner required by this Section 9 within sixty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no later than sixty (60) days after such instruction is given or such provision is made, if evidence of such instruction or provision is provided to the Corporation. If the person is not a stockholder of record when the consent is executed, the consent shall not be valid unless the person is a stockholder of record as of the record date for determining stockholders entitled to consent to the action. Unless otherwise provided, any such consent shall be revocable prior to its becoming effective.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Corporation shall prepare, not later than the tenth (10th) day before each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provided, that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6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 in accordance with the foregoing provisions of this Section 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1304"/>
        <w:spacing w:after="0" w:line="253" w:lineRule="auto"/>
        <w:tabs>
          <w:tab w:leader="none" w:pos="1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consent shall, by written notice to the Secretary of the Corporation,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without a meeting, when no prior action by the Board of Directors is required by applicable law, shall be the first date on which a signed written consent setting forth the action taken or proposed to be taken is delivered to the Corporation in accordance with Section 228(d) of the DGCL. If no record date has been fixed by the Board of Directors and prior action by the Board of Directors is required by applicable law, the record date for determining stockholders entitled to consent to corporate action without a meeting shall be at the close of business on the date on which the Board of Directors adopts the resolution taking such prior action.</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Stock Ledger and Records</w:t>
      </w:r>
      <w:r>
        <w:rPr>
          <w:rFonts w:ascii="Times New Roman" w:cs="Times New Roman" w:eastAsia="Times New Roman" w:hAnsi="Times New Roman"/>
          <w:sz w:val="18"/>
          <w:szCs w:val="18"/>
          <w:color w:val="auto"/>
        </w:rPr>
        <w:t>. The stock ledger of the Corporation shall be the only evidence as to who are the stockholders entitled to examine the list of stockholders required by Section 10 of this Article II or the books and records of the Corporation, or to vote in person 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 Any records administered by or on behalf of the Corporation in the regular course of its business, including its stock ledger, books of account, and minute books, may be kept on, or by means of, or be in the form of, any information storage device, or method, or one (1) or more electronic networks or databases (including one</w:t>
      </w:r>
    </w:p>
    <w:p>
      <w:pPr>
        <w:spacing w:after="0" w:line="3" w:lineRule="exact"/>
        <w:rPr>
          <w:sz w:val="20"/>
          <w:szCs w:val="20"/>
          <w:color w:val="auto"/>
        </w:rPr>
      </w:pPr>
    </w:p>
    <w:p>
      <w:pPr>
        <w:jc w:val="both"/>
        <w:ind w:firstLine="8"/>
        <w:spacing w:after="0" w:line="253" w:lineRule="auto"/>
        <w:tabs>
          <w:tab w:leader="none" w:pos="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Board of Directors of the Corporation may adopt by resolution such rules and regulations for the conduct of any meeting of the stockholders as it shall deem appropriate. Meetings of stockholders shall be presided over by the Chairman of the Board of Directors, if there shall be one, or in his or her absence, or there shall not be a Chairman of the Board of Directors or in his or her absence, the President. The Board of Directors shall have the authority to appoint a temporary chairman to serve at any meeting of the stockholders if the Chairman of the Board of Directors or the President is unable to do so for any reason. Except to the extent inconsistent with any rules and regulations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w:t>
      </w:r>
    </w:p>
    <w:p>
      <w:pPr>
        <w:spacing w:after="0" w:line="6" w:lineRule="exact"/>
        <w:rPr>
          <w:sz w:val="20"/>
          <w:szCs w:val="20"/>
          <w:color w:val="auto"/>
        </w:rPr>
      </w:pPr>
    </w:p>
    <w:p>
      <w:pPr>
        <w:jc w:val="both"/>
        <w:ind w:firstLine="8"/>
        <w:spacing w:after="0" w:line="253" w:lineRule="auto"/>
        <w:tabs>
          <w:tab w:leader="none" w:pos="3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stockholders.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In advance of any meeting of the stockholders, the Board of Directors, by resolution, the Chairman of the Board of Directors or the President shall appoint one (1) or more inspectors to act at the meeting and make a written report thereof. One (1) or more other persons may be designated as alternate inspectors to replace any inspector who fails to act. If no inspector or alternate is able to act at a meeting of the stockholders, the chairman of the meeting shall appoint one (1)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execute and deliver to the Corporation a certificate of the result of the vote taken and of such other facts as may be required by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Nature of Business at Meetings of Stockholders.</w:t>
      </w:r>
      <w:r>
        <w:rPr>
          <w:rFonts w:ascii="Times New Roman" w:cs="Times New Roman" w:eastAsia="Times New Roman" w:hAnsi="Times New Roman"/>
          <w:sz w:val="18"/>
          <w:szCs w:val="18"/>
          <w:color w:val="auto"/>
        </w:rPr>
        <w:t xml:space="preserve"> Only such business (other than nominations for election to the Board of Directors, which must comply with the provisions of Section 16 of this Article II) may be transacted at an Annual Meeting of Stockholders as is either</w:t>
      </w:r>
    </w:p>
    <w:p>
      <w:pPr>
        <w:jc w:val="both"/>
        <w:ind w:firstLine="8"/>
        <w:spacing w:after="0" w:line="252" w:lineRule="auto"/>
        <w:tabs>
          <w:tab w:leader="none" w:pos="2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meeting (or any supplement thereto) given by or at the direction of the Board of Directors (or any duly authorized committee thereof), (b) otherwise properly brought before the Annual Meeting of Stockholders by or at the direction of the Board of Directors (or any duly authorized committee thereof), or (c) otherwise properly brought before the Annual Meeting of Stockholders by any stockholder of the Corporation (i) who is a stockholder of record on the date of the giving of the notice provided for in this Section 15 of this Article II and on the record date for the determination of stockholders entitled to notice of and to vote at such Annual Meeting of Stockholders and (ii) who complies with the notice procedures set forth in this Section 15 of this Article II.</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business to be properly brought before an Annual Meeting of Stockholders by a stockholder, such stockholder must have given timely notice thereof in proper written form to the Secretary of the Corporation.</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To be timely, a stockholder's notice to the Secretary must be delivered to or be mailed and received at the principal executive offices of the Corporation not less than ninety (90) days nor more than one-hundred twenty (120) days prior to the anniversary date of the immediately preceding Annual Meeting of Stockholders; provided, however, that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 In no event shall the adjournment or postponement of an Annual Meeting of Stockholders, or the public announcement of such an adjournment or postponement, commence a new time period (or extend any time period) for the giving of a stockholder's notice as described above.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set forth the following information: (a) as to each matter such stockholder proposes to bring before the Annual Meeting of Stockholders, a brief description of the business desired to be brought before the Annual Meeting of Stockholders and the proposed text of any proposal regarding such business (including the text of any resolutions proposed for consideration and, if such business includes a proposal to amend these Bylaws, the text of the proposed amendment), and the reasons for conducting such business at the Annual Meeting of Stockholders, and (b) as to the stockholder giving notice and the beneficial owner, if any, on whose behalf the proposal is being made,</w:t>
      </w:r>
    </w:p>
    <w:p>
      <w:pPr>
        <w:spacing w:after="0" w:line="3" w:lineRule="exact"/>
        <w:rPr>
          <w:sz w:val="20"/>
          <w:szCs w:val="20"/>
          <w:color w:val="auto"/>
        </w:rPr>
      </w:pPr>
    </w:p>
    <w:p>
      <w:pPr>
        <w:jc w:val="both"/>
        <w:ind w:firstLine="8"/>
        <w:spacing w:after="0" w:line="251" w:lineRule="auto"/>
        <w:tabs>
          <w:tab w:leader="none" w:pos="2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person, (ii)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 person, (iv) a representation that the stockholder giving notice intends to appear in person or by proxy at the Annual Meeting of Stockholders to bring such business before the meeting; and (v)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of Stockholders pursuant to Section 14 of the Exchange Act, and the rules and regulations promulgated thereunder.</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stockholder providing notice of business proposed to be brought before an Annual Meeting of Stockholders shall further update and supplement such notice, if necessary, so that the information provided or required to be provided in such notice pursuant to this Section 15 of this Article II shall be true and correct as of the record date for determining the stockholders entitled to receive notice of the Annual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the Annual Meeting of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 business shall be conducted at the Annual Meeting of Stockholders except business brought before the Annual Meeting of Stockholders in accordance with the procedures set forth in this Section 15 of this Article II; provided, however, that, once business has been properly brought before the Annual Meeting of Stockholders in accordance with such procedures, nothing in this Section 15 of this Article II shall be deemed to preclude discussion by any stockholder of any such business. If the chairman of an Annual Meeting of Stockholders determines that business was not properly brought before the Annual Meeting of Stockholders in accordance with the foregoing procedures, the chairman shall declare to the meeting that the business was not properly brought before the meeting and such business shall not be transacted.</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Nothing contained in this Section 15 of this Article II shall be deemed to affect any rights of stockholders to request inclusion of proposals in the Corporation's proxy statement pursuant to Rule 14a-8 under the Exchange Act (or any successor provision of law).</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 xml:space="preserve">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w:t>
      </w:r>
      <w:r>
        <w:rPr>
          <w:rFonts w:ascii="Times New Roman" w:cs="Times New Roman" w:eastAsia="Times New Roman" w:hAnsi="Times New Roman"/>
          <w:sz w:val="18"/>
          <w:szCs w:val="18"/>
          <w:u w:val="single" w:color="auto"/>
          <w:color w:val="auto"/>
        </w:rPr>
        <w:t>Corporation</w:t>
      </w:r>
    </w:p>
    <w:p>
      <w:pPr>
        <w:spacing w:after="0" w:line="3" w:lineRule="exact"/>
        <w:rPr>
          <w:sz w:val="20"/>
          <w:szCs w:val="20"/>
          <w:color w:val="auto"/>
        </w:rPr>
      </w:pPr>
    </w:p>
    <w:p>
      <w:pPr>
        <w:jc w:val="both"/>
        <w:ind w:firstLine="8"/>
        <w:spacing w:after="0" w:line="255" w:lineRule="auto"/>
        <w:tabs>
          <w:tab w:leader="none" w:pos="230"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who is a stockholder of record on the date of the giving of the notice provided for in this Section</w:t>
      </w:r>
      <w:r>
        <w:rPr>
          <w:rFonts w:ascii="Times New Roman" w:cs="Times New Roman" w:eastAsia="Times New Roman" w:hAnsi="Times New Roman"/>
          <w:sz w:val="18"/>
          <w:szCs w:val="18"/>
          <w:color w:val="auto"/>
        </w:rPr>
        <w:t xml:space="preserve"> 16 of this Article II and on the record date for the determination of stockholders entitled to notice of and to vote at such Annual or Special Meeting of Stockholders, (ii) who complies with the notice procedures set forth in this Section 16 of this Article II and (iii) who complies with the requirements of Rule 14a-19 promulgated under the Exchange Act.</w:t>
      </w:r>
    </w:p>
    <w:p>
      <w:pPr>
        <w:spacing w:after="0" w:line="18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To be timely, a stockholder's notice to the Secretary must be delivered to or be mailed and received at the principal executive offices of the Corporation (a) in the case of an Annual Meeting of Stockholders, not less than ninety (90) days nor more than one hundred twenty (120) days prior to the anniversary date of the immediately preceding Annual Meeting of Stockholders; provided, however, that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 and</w:t>
      </w:r>
    </w:p>
    <w:p>
      <w:pPr>
        <w:spacing w:after="0" w:line="5" w:lineRule="exact"/>
        <w:rPr>
          <w:sz w:val="20"/>
          <w:szCs w:val="20"/>
          <w:color w:val="auto"/>
        </w:rPr>
      </w:pPr>
    </w:p>
    <w:p>
      <w:pPr>
        <w:jc w:val="both"/>
        <w:ind w:firstLine="8"/>
        <w:spacing w:after="0" w:line="253"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of Stockholders called for the purpose of electing directors, not later than the close of business on the tenth (10th) day following the day on which notice of the date of the Special Meeting of Stockholders was mailed or public disclosure of the date of the Special Meeting of Stockholders was made, whichever first occurs. In no event shall the adjournment or postponement of an Annual Meeting of Stockholders or a Special Meeting of Stockholders called for the purpose of electing directors, or the public announcement of such an adjournment or postponement, commence a new time period (or extend any time period) for the giving of a stockholder's notice as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set forth the following information: (a) as to each person whom the stockholder proposes to nominate for election as a director (i) the name, age, business address and residence address of such person, (ii) the principal occupation or employment of such person, (iii)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(iv) such person's written representation and agreement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(C) in such person's individual capacity, would be in compliance, if elected as a director of the Corporation, and will comply with, all applicable publicly disclosed confidentiality, corporate governance, conflict of interest, Regulation FD (Fair Disclosure), code of conduct and ethics, and stock ownership and trading policies and guidelines of the Corporation and (D) such person's written undertaking, if elected as a director of the Corporation, to submit a conditional letter of resignation upon election, the effectiveness of such resignation to be conditioned on a finding by a court of competent jurisdiction that such person, in their capacity as a director of the Corporation, intentionally disclosed confidential information to third parties in breach of such person's confidentiality obligations to the Corporation under applicable law, any applicable agreement or any policies or guidelines of the Corporation and (v)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and the beneficial owner, if any, on whose behalf the nomination is being made,</w:t>
      </w:r>
    </w:p>
    <w:p>
      <w:pPr>
        <w:spacing w:after="0" w:line="7" w:lineRule="exact"/>
        <w:rPr>
          <w:sz w:val="20"/>
          <w:szCs w:val="20"/>
          <w:color w:val="auto"/>
        </w:rPr>
      </w:pPr>
    </w:p>
    <w:p>
      <w:pPr>
        <w:jc w:val="both"/>
        <w:ind w:firstLine="8"/>
        <w:spacing w:after="0" w:line="250"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the stockholder giving the notice and the name and principal place of business of such beneficial owner;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agreements, arrangements, or understandings (whether written or oral) between such person, or any affiliates or associates of such person, and any proposed nominee, or any affiliates or associates of such proposed nominee, (B)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(C)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Annual Meeting of Stockholders or Special Meeting of Stockholders to nominate the persons named in its notice; and (v)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include all other information required by Rule 14a-19 under the Exchange Act and must be accompanied by a written consent of each proposed nominee to being named as a nominee in any proxy statement relating to the Annual or Special Meeting of Stockholders, as applicable, and to serve as a director if elected. The Corporation may require any proposed nominee to furnish such other information as it may reasonably require, including such information as may be necessary or appropriate to determine the eligibility of such proposed nominee to serve as an independent director of the Corporation or that could be material to a reasonable stockholder's understanding of the independence, or lack thereof, of such proposed nominee.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stockholder providing notice of any nomination proposed to be made at an Annual or Special Meeting of Stockholders shall further update and supplement such notice, (i) if necessary, so that the information provided or required to be provided in such notice pursuant to this Section 16 of this Article II shall be true and correct as of the record date for determining the stockholders entitled to receive notice of the Annual or Special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or Special Meeting of Stockholders and (ii) to provide evidence that the stockholder providing notice of any nomination has solicited proxies from holders representing at least sixty-seven percent (67%) of the voting power of the shares entitled to vote in the election of directors, and such update and supplement shall be delivered to or be mailed and received by the Secretary at the principal executive offices of the Corporation not later than five (5) business days after the stockholder files a definitive proxy statement in connection with such Annual or Special Meeting of Stockholders.</w:t>
      </w:r>
    </w:p>
    <w:p>
      <w:pPr>
        <w:spacing w:after="0" w:line="188"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procedures set forth in this Section 16 of this Article II. If the chairman of the meeting determines that a nomination was not made in accordance with the foregoing procedures or that the solicitation in support of the nominees other than the Corporation's nominees was not conducted in compliance with Rule 14a-19 under the Exchange Act, the chairman shall declare to the meeting that the nomination was defective and such defective nomination shall be disregarded.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and Election of Directors</w:t>
      </w:r>
      <w:r>
        <w:rPr>
          <w:rFonts w:ascii="Times New Roman" w:cs="Times New Roman" w:eastAsia="Times New Roman" w:hAnsi="Times New Roman"/>
          <w:sz w:val="18"/>
          <w:szCs w:val="18"/>
          <w:color w:val="auto"/>
        </w:rPr>
        <w:t>. The Board of Directors shall consist of not less than one (1) nor more than ten (10) members, each of whom shall be a natural person, the exact number of which shall initially be fixed by the Incorporator and thereafter from time to time by the Board of Directors. Except as provided in Section 2 of this Article III, directors shall be elected by a plurality of the votes cast at each Annual Meeting of Stockholders and each director so elected shall hold office until the next Annual Meeting of Stockholders and until such director's successor is duly elected and qualified, or until such director's earlier death, resignation or removal. Directors need not be stockholders unless so required by the Certificate of Incorporation.</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Unless otherwise required by law or the Certificate of Incorporation, vacancies on the Board of Directors or any committee thereof resulting from the death, resignation or removal of a director, or from an increase in the number of directors constituting the Board of Directors or such committee or otherwise, may be filled by a majority of the directors then in office, though less than a quorum, or by a sole remaining director, or by a majority of the votes cast by the stockholders. The directors so chosen shall, in the case of the Board of Directors, hold office until the next annual election and until their successors are duly elected and qualified, or until their earlier death, resignation or removal and, in the case of any committee of the Board of Directors, shall hold office until their successors are duly appointed by the Board of Directors or until their earlier death, resignation or removal. No decrease in the number of directors shall shorten the term of any incumbent director.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Duties and Powers</w:t>
      </w:r>
      <w:r>
        <w:rPr>
          <w:rFonts w:ascii="Times New Roman" w:cs="Times New Roman" w:eastAsia="Times New Roman" w:hAnsi="Times New Roman"/>
          <w:sz w:val="18"/>
          <w:szCs w:val="18"/>
          <w:color w:val="auto"/>
        </w:rPr>
        <w:t>. The business and affairs of the Corporation shall be managed by or under the direction of the Board of Directors which may exercise all such powers of the Corporation except as may be otherwise provided in the DGCL, the Certificate of Incorporation, these Bylaws or required by the rules and regulations of any securities exchange or quotation system on which the securities of the Corporation are listed or quoted for trading.</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Chairman of the Board of Directors, if there be one, the President, or a majority of the Board of Directors. Special meetings of any committee of the Board of Directors may be called by the chairman of such committee, if there be one, the President, or a majority of the directors serving on such committee. Notice of any special meeting stating the place, date and hour of the meeting shall be given to each director (or, in the case of a committee, to each member of such committee) not less than twenty-four (24) hours before the date of the meeting, by telephone, or in the form of a writing or electronic transmission, or on such shorter notice as the person or persons calling such meeting may deem necessary or appropriate in the circumstances.</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At each meeting of the Board of Directors or any committee thereof, the Chairman of the Board of Directors or the chairman of such committee, as the case may be, or, in his or her absence or if there be none, a director chosen by a majority of the directors present, shall act as chairman of such meeting. Except as provided below, the Secretary of the Corporation shall act as secretary at each meeting of the Board of Directors and of each committee thereof. In case the Secretary shall be absent from any meeting of the Board of Directors or of any committee thereof, the chairman of the meeting may appoint any person to act as secretary of the meeting. Notwithstanding the foregoing, the members of each committee of the Board of Directors may appoint any person to act as secretary of any meeting of such committee and the Secretary of the Corporation may, but need not if such committee so elects, serve in such capacity.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Resignations and Removals of Directors</w:t>
      </w:r>
      <w:r>
        <w:rPr>
          <w:rFonts w:ascii="Times New Roman" w:cs="Times New Roman" w:eastAsia="Times New Roman" w:hAnsi="Times New Roman"/>
          <w:sz w:val="18"/>
          <w:szCs w:val="18"/>
          <w:color w:val="auto"/>
        </w:rPr>
        <w:t>. Any director of the Corporation may resign from the Board of Directors or any committee thereof at any time, by giving notice in writing or by electronic transmission to the Chairman of the Board of Directors, if there be one, the President or the Secretary of the Corporation and, in the case of a committee, to the chairman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with or without cause, by the affirmative vote of the holders of at least a majority in voting power of the issued and outstanding capital stock of the Corporation entitled to vote in the election of directors. Any director serving on a committee of the Board of Directors may be removed from such committee at any time by the Board of Directors.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Actions of the Board by Written Consent</w:t>
      </w:r>
      <w:r>
        <w:rPr>
          <w:rFonts w:ascii="Times New Roman" w:cs="Times New Roman" w:eastAsia="Times New Roman" w:hAnsi="Times New Roman"/>
          <w:sz w:val="18"/>
          <w:szCs w:val="18"/>
          <w:color w:val="auto"/>
        </w:rPr>
        <w:t>. Unless otherwise provided in the Certificate of Incorporation or these Bylaws,</w:t>
      </w:r>
    </w:p>
    <w:p>
      <w:pPr>
        <w:spacing w:after="0" w:line="27" w:lineRule="exact"/>
        <w:rPr>
          <w:sz w:val="20"/>
          <w:szCs w:val="20"/>
          <w:color w:val="auto"/>
        </w:rPr>
      </w:pPr>
    </w:p>
    <w:p>
      <w:pPr>
        <w:jc w:val="both"/>
        <w:ind w:firstLine="8"/>
        <w:spacing w:after="0" w:line="251" w:lineRule="auto"/>
        <w:tabs>
          <w:tab w:leader="none" w:pos="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and (b) a consent may be documented, signed and delivered in any manner permitted by Section 116 of the DGCL.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Meetings by Means of Conference Telephone</w:t>
      </w:r>
      <w:r>
        <w:rPr>
          <w:rFonts w:ascii="Times New Roman" w:cs="Times New Roman" w:eastAsia="Times New Roman" w:hAnsi="Times New Roman"/>
          <w:sz w:val="18"/>
          <w:szCs w:val="18"/>
          <w:color w:val="auto"/>
        </w:rPr>
        <w:t>.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9 shall constitute presence in person at such meeting.</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(1)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of Directors may designate one (1)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Any such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provided, however, that no such committee shall have the power or authority to (i) approve, adopt, or recommend to the stockholders any action or matter (other than the election or removal of directors) expressly required by the DGCL to be submitted to stockholders for approval, or (ii) adopt, amend, or repeal any of these Bylaws. Each committee shall keep regular minutes and report to the Board of Directors when required. Notwithstanding anything to the contrary contained in this Article III,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color w:val="auto"/>
        </w:rPr>
        <w:t>. Unless otherwise provided in the Certificate of Incorporation, these Bylaws, or the resolution of the Board of Directors designating a committee, such committee may create one (1) or more subcommittees, each subcommittee to consist of one (1) or more members of the committee, and delegate to a subcommittee any or all of the powers and authority of the committee. Except for references to committees and members of committees in Section 10 of this Article III, every reference in these Bylaws to a committee of the Board of Directors or a member of a committee shall be deemed to include a reference to a subcommittee or member of a subcommittee.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(1) or more of its directors or officers, or between the Corporation and any other corporation, partnership, association or other organization in which one (1)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spacing w:after="0" w:line="3" w:lineRule="exact"/>
        <w:rPr>
          <w:sz w:val="20"/>
          <w:szCs w:val="20"/>
          <w:color w:val="auto"/>
        </w:rPr>
      </w:pPr>
    </w:p>
    <w:p>
      <w:pPr>
        <w:jc w:val="both"/>
        <w:ind w:firstLine="8"/>
        <w:spacing w:after="0" w:line="253" w:lineRule="auto"/>
        <w:tabs>
          <w:tab w:leader="none" w:pos="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EMERGENCY BYLAW PROVISIONS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Emergency Provisions</w:t>
      </w:r>
      <w:r>
        <w:rPr>
          <w:rFonts w:ascii="Times New Roman" w:cs="Times New Roman" w:eastAsia="Times New Roman" w:hAnsi="Times New Roman"/>
          <w:sz w:val="18"/>
          <w:szCs w:val="18"/>
          <w:color w:val="auto"/>
        </w:rPr>
        <w:t>. Notwithstanding any different or conflicting provisions in the Certificate of Incorporation, these Bylaws or the DGCL, the provisions of this Article IV shall be operative only during any emergency resulting from an attack on the United States or on a locality in which the Corporation conducts its business or customarily holds meetings of the Board of Directors or the stockholders, or during any nuclear or atomic disaster, or during the existence of any catastrophe, including, but not limited to, an epidemic or pandemic, and a declaration of a national emergency by the United States government, or other similar emergency condition, and any other event or condition that constitutes an emergency under the DGCL, irrespective of whether a quorum of the Board of Directors or a standing committee of the Board of Directors can readily be convened for action.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Emergency Powers</w:t>
      </w:r>
      <w:r>
        <w:rPr>
          <w:rFonts w:ascii="Times New Roman" w:cs="Times New Roman" w:eastAsia="Times New Roman" w:hAnsi="Times New Roman"/>
          <w:sz w:val="18"/>
          <w:szCs w:val="18"/>
          <w:color w:val="auto"/>
        </w:rPr>
        <w:t>. During any emergency, the Board of Directors (or, if a quorum cannot be readily convened for a meeting, a majority of the directors present) may, to the greatest extent permitted by Section 110 of the DGCL, take any action that it determines to be practical and necessary for the circumstances of such emergency, including the adoption of additional emergency bylaws.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Meetings of the Board of Directors and Committees</w:t>
      </w:r>
      <w:r>
        <w:rPr>
          <w:rFonts w:ascii="Times New Roman" w:cs="Times New Roman" w:eastAsia="Times New Roman" w:hAnsi="Times New Roman"/>
          <w:sz w:val="18"/>
          <w:szCs w:val="18"/>
          <w:color w:val="auto"/>
        </w:rPr>
        <w:t>. A meeting of the Board of Directors, or a committee thereof, may be called at any time during an emergency by any officer or any director. The officer or director calling such meeting shall use reasonable efforts to give notice of any such meeting at least eight (8) hours prior to the time set for such meeting, unless such emergency requires a shorter notice period, but such notice need be given only to such of the directors as it may be reasonably practicable to reach at the time and by such means as may be reasonably available at the time, including publication, telephone, electronic communications or radio.</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Quorum; Manner of Acting</w:t>
      </w:r>
      <w:r>
        <w:rPr>
          <w:rFonts w:ascii="Times New Roman" w:cs="Times New Roman" w:eastAsia="Times New Roman" w:hAnsi="Times New Roman"/>
          <w:sz w:val="18"/>
          <w:szCs w:val="18"/>
          <w:color w:val="auto"/>
        </w:rPr>
        <w:t>. During an emergency, such number of directors (or a sole director) present, in person or by telephonic or electronic or remote communications, at any meeting of the Board of Directors or committee thereof shall constitute a quorum for such meeting. The vote of a majority of the directors present at any such meeting shall be the act of the Board of Directors or such committee, as applicable, notwithstanding any provision of the DGCL, the Certificate of Incorporation or these Bylaws to the contrary. If, during an emergency, the directors present at a meeting are fewer than the number required for a quorum as described in the first sentence of this Section 4, the officers of the Corporation or other persons present who have been designated on a list approved by the Board of Directors before such emergency, all in such order of priority and subject to such conditions and for such period of time as may be provided in the resolution approving such list, or, in the absence of such a resolution, the officers of the Corporation who are present, in order of rank and within the same rank in order of seniority, shall to the extent required to provide a quorum be deemed directors for such meeting.</w:t>
      </w:r>
    </w:p>
    <w:p>
      <w:pPr>
        <w:spacing w:after="0" w:line="188"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Officers' Succession</w:t>
      </w:r>
      <w:r>
        <w:rPr>
          <w:rFonts w:ascii="Times New Roman" w:cs="Times New Roman" w:eastAsia="Times New Roman" w:hAnsi="Times New Roman"/>
          <w:sz w:val="18"/>
          <w:szCs w:val="18"/>
          <w:color w:val="auto"/>
        </w:rPr>
        <w:t>. The Board of Directors, either before or during an emergency, may provide, and from time to time modify, lines of succession in the event that during an emergency any or all officers or agents of the Corporation shall for any reason be rendered incapable of discharging their duties. During any emergency, the directors present and voting may appoint such officers as shall be approved by a majority of such directors.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Change of Office</w:t>
      </w:r>
      <w:r>
        <w:rPr>
          <w:rFonts w:ascii="Times New Roman" w:cs="Times New Roman" w:eastAsia="Times New Roman" w:hAnsi="Times New Roman"/>
          <w:sz w:val="18"/>
          <w:szCs w:val="18"/>
          <w:color w:val="auto"/>
        </w:rPr>
        <w:t>. The Board of Directors, either before or during an emergency, may, effective in the emergency, change the location of the Corporation's head office or designate several alternative head offices or regional offices, or authorize the officers to do so.</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No officer, director, or employee acting in accordance with any emergency bylaw provisions or emergency provisions of the DGCL shall be liable except for willful misconduct. No person shall be liable, and no meeting of stockholders shall be postponed or voided, for the failure to make a stock list available pursuant to Section 219 of the DGCL if it was not practicable to allow inspection during any emergency.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During any emergency, the Board of Directors (or, if a quorum cannot be readily convened for a meeting, a majority of the directors present) may: (i) take any action that it determines to be practical and necessary to address the circumstances of such emergency condition with respect to a meeting of the stockholders, including, but not limited to, (A) to postpone any meeting of stockholders to a later time or date (with the record date for determining the stockholders entitled to notice of, and to vote at, such meeting applying to the postponed meeting irrespective of Section 213 of the DGCL), or make a change to hold the meeting solely by means of remote communication, and (B) to notify stockholders of any postponement or change of place of meeting or a change to hold the meeting solely by means of remote communication solely by a document publicly filed by the Corporation with the Securities and Exchange Commission pursuant to Section 13, 14, or 15(d) of the Exchange Act and the rules and regulations promulgated thereunder, and (ii) with respect to any dividend that has been declared and as to which the record date has not occurred, change the record date or payment date or both to a later date or dates. The payment date as so changed may not be more than sixty (60) days after the record date as so changed. Notice of the change must be given to stockholders as promptly as practicable, which notice may be given solely by a document publicly filed by the Corporation with the SEC pursuant to Section 13, 14, or 15(d) of the Exchange Act and the rules and regulations promulgated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Amendment</w:t>
      </w:r>
      <w:r>
        <w:rPr>
          <w:rFonts w:ascii="Times New Roman" w:cs="Times New Roman" w:eastAsia="Times New Roman" w:hAnsi="Times New Roman"/>
          <w:sz w:val="18"/>
          <w:szCs w:val="18"/>
          <w:color w:val="auto"/>
        </w:rPr>
        <w:t>. To the extent not inconsistent with the provisions of this Article IV, these Bylaws shall remain in effect during any emergency, and upon its termination the foregoing emergency bylaw provisions shall cease to be operative. All emergency bylaw provisions may be terminated at any time by the consent or direction of a majority of a quorum of the Board of Directors and may be amended from time to time during the pendency of any emergency by a majority of the directors present and voting in favor of such amendment. Any repeal or modification of any of the provisions of this Article IV or the emergency provisions of the DGCL shall not adversely affect any right or protection under Section of this Article IV in respect of any act or omission occurring prior to the time of such repeal or modification.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officers of the Corporation shall be chosen by the Board of Directors and shall be a Chief Financial Officer, General Counsel, Chief Operating Officer, Secretary and Treasurer. The Board of Directors, in its discretion, also may choose a Chairman of the Board of Directors (who must be a director) and one (1) or more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Securities Owned by the Corporation</w:t>
      </w:r>
      <w:r>
        <w:rPr>
          <w:rFonts w:ascii="Times New Roman" w:cs="Times New Roman" w:eastAsia="Times New Roman" w:hAnsi="Times New Roman"/>
          <w:sz w:val="18"/>
          <w:szCs w:val="18"/>
          <w:color w:val="auto"/>
        </w:rPr>
        <w:t>.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Chairman of the Board of Directors</w:t>
      </w:r>
      <w:r>
        <w:rPr>
          <w:rFonts w:ascii="Times New Roman" w:cs="Times New Roman" w:eastAsia="Times New Roman" w:hAnsi="Times New Roman"/>
          <w:sz w:val="18"/>
          <w:szCs w:val="18"/>
          <w:color w:val="auto"/>
        </w:rPr>
        <w:t>. The Chairman of the Board of Directors, if there be one, shall preside at all meetings of the stockholders and of the Board of Directors. The Chairman of the Board of Directors shall also perform such other duties and may exercise such other powers as may from time to time be assigned by these Bylaws or by the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if one is to be appointed, shall exercise such powers and have such authority as may be delegated to them by the Board of Directors.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General Counsel</w:t>
      </w:r>
      <w:r>
        <w:rPr>
          <w:rFonts w:ascii="Times New Roman" w:cs="Times New Roman" w:eastAsia="Times New Roman" w:hAnsi="Times New Roman"/>
          <w:sz w:val="18"/>
          <w:szCs w:val="18"/>
          <w:color w:val="auto"/>
        </w:rPr>
        <w:t>. The general counsel, if one is to be appointed, shall exercise such powers and have such authority as may be delegated to them by the Board of Directors.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Chief Operating Officer</w:t>
      </w:r>
      <w:r>
        <w:rPr>
          <w:rFonts w:ascii="Times New Roman" w:cs="Times New Roman" w:eastAsia="Times New Roman" w:hAnsi="Times New Roman"/>
          <w:sz w:val="18"/>
          <w:szCs w:val="18"/>
          <w:color w:val="auto"/>
        </w:rPr>
        <w:t>. The chief operating officer, if one is to be appointed, shall exercise such powers and have such authority as may be delegated to them by the Board of Directors.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Chairman of the Board of Directors or the President, under whose supervision the Secretary shall be. If the Secretary shall be unable or shall refuse to cause to be given notice of all meetings of the stockholders and special meetings of the Board of Directors, then either the Board of Directors or the President may choose another officer to cause such notice to be given. The Secretary shall have custody of the seal of the Corporation and the Secretary shall have authority to affix the same to any instrument requiring it 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or the President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Shares of Stock</w:t>
      </w:r>
      <w:r>
        <w:rPr>
          <w:rFonts w:ascii="Times New Roman" w:cs="Times New Roman" w:eastAsia="Times New Roman" w:hAnsi="Times New Roman"/>
          <w:sz w:val="18"/>
          <w:szCs w:val="18"/>
          <w:color w:val="auto"/>
        </w:rPr>
        <w:t>. Except as otherwise provided in a resolution approved by the Board of Directors, all shares of capital stock of the Corporation shall be uncertificated shares.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Signatures</w:t>
      </w:r>
      <w:r>
        <w:rPr>
          <w:rFonts w:ascii="Times New Roman" w:cs="Times New Roman" w:eastAsia="Times New Roman" w:hAnsi="Times New Roman"/>
          <w:sz w:val="18"/>
          <w:szCs w:val="18"/>
          <w:color w:val="auto"/>
        </w:rPr>
        <w:t>. Any or all of the signatures on a certificate may be a facsimile or electronic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Record Owners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Transfer and Registry Agents</w:t>
      </w:r>
      <w:r>
        <w:rPr>
          <w:rFonts w:ascii="Times New Roman" w:cs="Times New Roman" w:eastAsia="Times New Roman" w:hAnsi="Times New Roman"/>
          <w:sz w:val="18"/>
          <w:szCs w:val="18"/>
          <w:color w:val="auto"/>
        </w:rPr>
        <w:t>. The Corporation may from time to time maintain one (1) or more transfer offices or agencies and registry offices or agencies at such place or places as may be determined from time to time by the Board of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The Corporation may give notice by electronic mail in accordance with the first sentence of this Section 1 without obtaining the consent required by the second sentence of this Section 1.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(i) the Corporation is unable to deliver by such electronic transmission two consecutive notices given by the Corporation and (ii) such inability becomes known to the Secretary of the Corporation or to the transfer agent, or other person responsible for the giving of notice, provided, however, the inadvertent failure to discover such inability shall not invalidate any meeting or other action.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20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Waivers of Notice</w:t>
      </w:r>
      <w:r>
        <w:rPr>
          <w:rFonts w:ascii="Times New Roman" w:cs="Times New Roman" w:eastAsia="Times New Roman" w:hAnsi="Times New Roman"/>
          <w:sz w:val="18"/>
          <w:szCs w:val="18"/>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 waiver by electronic transmission unless so required by law, the Certificate of Incorporation or these Bylaws.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Disbursements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begin on January 1 and end on December 31.</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corporate seal shall have inscribed thereon the name of the Corporation, the year of its organization and the words "Corporate Seal, Delaware." The seal may be used by causing it or a facsimile or other electronic means thereof to be impressed or affixed or reproduced or otherwise.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 in the DGCL shall govern the construction of these Bylaws. Without limiting the generality of this provision, the singular number includes the plural and the plural number includes the singular number.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 to Indemnify in Actions, Suits or Proceedings other than Those by or in the Right of the Corporation</w:t>
      </w:r>
      <w:r>
        <w:rPr>
          <w:rFonts w:ascii="Times New Roman" w:cs="Times New Roman" w:eastAsia="Times New Roman" w:hAnsi="Times New Roman"/>
          <w:sz w:val="18"/>
          <w:szCs w:val="18"/>
          <w:color w:val="auto"/>
        </w:rPr>
        <w:t>. Subject to Section 3 of this Article IX, the Corporation shall indemnify any person who was or is a party or is threatened to be made a party to any threatened, pending or completed action, suit or proceeding, whether civil, criminal, administrative or investigative (other than an action by or in the right of the</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Corporation), by reason of the fact that such person is or was a director or officer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540" w:right="5100" w:hanging="5532"/>
        <w:spacing w:after="0" w:line="318" w:lineRule="auto"/>
        <w:tabs>
          <w:tab w:leader="none" w:pos="338"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color w:val="auto"/>
        </w:rPr>
        <w:t>Note to Draft</w:t>
      </w:r>
      <w:r>
        <w:rPr>
          <w:rFonts w:ascii="Times New Roman" w:cs="Times New Roman" w:eastAsia="Times New Roman" w:hAnsi="Times New Roman"/>
          <w:sz w:val="17"/>
          <w:szCs w:val="17"/>
          <w:color w:val="auto"/>
        </w:rPr>
        <w:t>: Bitfarms indemnifies directors and officers under current bylaws.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Power to Indemnify in Actions, Suits or Proceedings by or in the Right of the Corporation</w:t>
      </w:r>
      <w:r>
        <w:rPr>
          <w:rFonts w:ascii="Times New Roman" w:cs="Times New Roman" w:eastAsia="Times New Roman" w:hAnsi="Times New Roman"/>
          <w:sz w:val="18"/>
          <w:szCs w:val="18"/>
          <w:color w:val="auto"/>
        </w:rPr>
        <w:t>. Subject to Section 3 of this Article IX,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Authorization of Indemnification</w:t>
      </w:r>
      <w:r>
        <w:rPr>
          <w:rFonts w:ascii="Times New Roman" w:cs="Times New Roman" w:eastAsia="Times New Roman" w:hAnsi="Times New Roman"/>
          <w:sz w:val="18"/>
          <w:szCs w:val="18"/>
          <w:color w:val="auto"/>
        </w:rPr>
        <w:t>. 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1 or Section 2 of this Article IX, as the case may be. Such determination shall be made, with respect to a person who is a director or officer of the Corporation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Good Faith Defined</w:t>
      </w:r>
      <w:r>
        <w:rPr>
          <w:rFonts w:ascii="Times New Roman" w:cs="Times New Roman" w:eastAsia="Times New Roman" w:hAnsi="Times New Roman"/>
          <w:sz w:val="18"/>
          <w:szCs w:val="18"/>
          <w:color w:val="auto"/>
        </w:rPr>
        <w:t>. For purposes of any determination under Section 3 of this Article IX,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 person may be deemed to have met the applicable standard of conduct set forth in Section 1 or Section 2 of this Article IX, as the case may be.</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by a Court</w:t>
      </w:r>
      <w:r>
        <w:rPr>
          <w:rFonts w:ascii="Times New Roman" w:cs="Times New Roman" w:eastAsia="Times New Roman" w:hAnsi="Times New Roman"/>
          <w:sz w:val="18"/>
          <w:szCs w:val="18"/>
          <w:color w:val="auto"/>
        </w:rPr>
        <w:t>. Notwithstanding any contrary determination in the specific case under Section 3 of this Article IX,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1 or Section 2 of this Article IX. The basis of such indemnification by a court shall be a determination by such court that indemnification of the director or officer is proper in the circumstances because such person has met the applicable standard of conduct set forth in Section 1 or Section 2 of this Article IX, as the case may be. Neither a contrary determination in the specific case under Section 3 of this Article IX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shall be given to the Corporation promptly upon the filing of such application. If successful, in whole or in part, the director or officer seeking indemnification shall also be entitled to be paid the expense of prosecuting such application.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Expenses Payable in Advance</w:t>
      </w:r>
      <w:r>
        <w:rPr>
          <w:rFonts w:ascii="Times New Roman" w:cs="Times New Roman" w:eastAsia="Times New Roman" w:hAnsi="Times New Roman"/>
          <w:sz w:val="18"/>
          <w:szCs w:val="18"/>
          <w:color w:val="auto"/>
        </w:rPr>
        <w:t>.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Nonexclusivity of Indemnification and Advancement of Expenses</w:t>
      </w:r>
      <w:r>
        <w:rPr>
          <w:rFonts w:ascii="Times New Roman" w:cs="Times New Roman" w:eastAsia="Times New Roman" w:hAnsi="Times New Roman"/>
          <w:sz w:val="18"/>
          <w:szCs w:val="18"/>
          <w:color w:val="auto"/>
        </w:rPr>
        <w:t>. The indemnification and advancement of expenses provided by, or granted pursuant to, this Article IX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1 and Section 2 of this Article IX shall be made to the fullest extent permitted by law. A right to indemnification or to advancement of expenses arising under a provision of the Certificate of Incorporation or these Bylaws shall not be eliminated or impaired by an amendment to or repeal or elimination of a provision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 or omission has occurred. The provisions of this Article IX shall not be deemed to preclude the indemnification of any person who is not specified in Section 1 or Section 2 of this Article IX but whom the Corporation has the power or obligation to indemnify, under the provisions of the DGCL, or otherwise.</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 For purposes of this Section 8, insurance shall include any insurance provided directly or indirectly (including pursuant to any fronting or reinsurance arrangement) by or through a captive insurance company in accordance with the requirement of Section 145(g) of the DGCL.</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Survival of Indemnification and Advancement of Expenses</w:t>
      </w:r>
      <w:r>
        <w:rPr>
          <w:rFonts w:ascii="Times New Roman" w:cs="Times New Roman" w:eastAsia="Times New Roman" w:hAnsi="Times New Roman"/>
          <w:sz w:val="18"/>
          <w:szCs w:val="18"/>
          <w:color w:val="auto"/>
        </w:rPr>
        <w:t>. The indemnification and advancement of expenses provided by, or granted pursuant to, this Article IX shall, unless otherwise provided when authorized or ratified, continue as to a person who has ceased to be a director or officer and shall inure to the benefit of the heirs, executors and administrators of such a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Limitation on Indemnification</w:t>
      </w:r>
      <w:r>
        <w:rPr>
          <w:rFonts w:ascii="Times New Roman" w:cs="Times New Roman" w:eastAsia="Times New Roman" w:hAnsi="Times New Roman"/>
          <w:sz w:val="18"/>
          <w:szCs w:val="18"/>
          <w:color w:val="auto"/>
        </w:rPr>
        <w:t>. Notwithstanding anything contained in this Article IX to the contrary, except for proceedings to enforce rights to indemnification (which shall be governed by Section 5 of this Article IX),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IX to directors and officers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FORUM FOR ADJUDICATION OF CERTAIN DISPUTES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Forum for Adjudication of Certain Disputes</w:t>
      </w:r>
      <w:r>
        <w:rPr>
          <w:rFonts w:ascii="Times New Roman" w:cs="Times New Roman" w:eastAsia="Times New Roman" w:hAnsi="Times New Roman"/>
          <w:sz w:val="18"/>
          <w:szCs w:val="18"/>
          <w:color w:val="auto"/>
        </w:rPr>
        <w:t>. Unless the Corporation consents in writing to the selection of an alternative forum (an "Alternative Forum Consent"), the Court of Chancery of the State of Delaware shall be the sole and exclusive forum for any (i) derivative action or proceeding brought on behalf of the Corporation, (ii) action asserting a claim of breach of a duty (including any fiduciary duty) owed by any current or former director, officer, stockholder, employee or agent of the Corporation to the Corporation or the Corporation's stockholders, (iii) action asserting a claim against the Corporation or any current or former director, officer, stockholder, employee or agent of the Corporation arising out of or relating to any provision of the DGCL, the Certificate of Incorporation or these Bylaws (each, as in effect from time to time), (iv) action asserting a claim against the Corporation or any current or former director, officer, stockholder, employee or agent of the Corporation governed by the internal affairs doctrine of the State of Delaware, or (v) other action asserting an internal corporate claim, as defined in Section 115 of the DGCL; provided, however, that, in the event that the Court of Chancery of the State of Delaware lacks subject matter jurisdiction over any such action or proceeding, the sole and exclusive forum for such action or proceeding shall be another state or federal district court located within the State of Delaware, in each such case, unless the Court of Chancery (or such other state or federal district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Section 1. The existence of any prior Alternative Forum Consent shall not act as a waiver of the Corporation's ongoing consent right as set forth above in this Section 1 with respect to any current or future actions or claims.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a meeting of the stockholders or Board of Directors, as the case may be, called for the purpose of acting upon any proposed alteration, amendment, repeal or adoption of new Bylaws. All such alterations, amendments, repeals or adoptions of new Bylaws must be approved by either the holders of a majority of the outstanding capital stock entitled to vote thereon or by a majority of the entire Board of Directors then in office. Any amendment to these Bylaws adopted by stockholders which specifies the votes that shall be necessary for the election of directors shall not be further amended or repealed by the Board of Directors.</w:t>
      </w:r>
    </w:p>
    <w:p>
      <w:pPr>
        <w:spacing w:after="0" w:line="189"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Entire Board of Directors</w:t>
      </w:r>
      <w:r>
        <w:rPr>
          <w:rFonts w:ascii="Times New Roman" w:cs="Times New Roman" w:eastAsia="Times New Roman" w:hAnsi="Times New Roman"/>
          <w:sz w:val="18"/>
          <w:szCs w:val="18"/>
          <w:color w:val="auto"/>
        </w:rPr>
        <w:t>. As used in this Article XI and in these Bylaws generally, the term "entire Board of Directors" means the total number of directors which the Corporation would have if there were no vacancies.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as of: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Amended as of: 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FIRST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April 1, 2026 between Bitfarms Ltd., a corporation organized and existing under the Business Corporations Act (Ontario)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and Computershare Trust Company, N.A., as trustee, and Computershare Trust Company of Canada, as Canadian co-trustee (the “</w:t>
      </w:r>
      <w:r>
        <w:rPr>
          <w:rFonts w:ascii="Times New Roman" w:cs="Times New Roman" w:eastAsia="Times New Roman" w:hAnsi="Times New Roman"/>
          <w:sz w:val="18"/>
          <w:szCs w:val="18"/>
          <w:b w:val="1"/>
          <w:bCs w:val="1"/>
          <w:color w:val="auto"/>
        </w:rPr>
        <w:t>Canadian Co-Trustee</w:t>
      </w:r>
      <w:r>
        <w:rPr>
          <w:rFonts w:ascii="Times New Roman" w:cs="Times New Roman" w:eastAsia="Times New Roman" w:hAnsi="Times New Roman"/>
          <w:sz w:val="18"/>
          <w:szCs w:val="18"/>
          <w:color w:val="auto"/>
        </w:rPr>
        <w:t>” and together with Computershare Trust Company, N.A.,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 :</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Bitfarms and the Trustee are parties to an Indenture, dated as of October 21, 2025 (the “</w:t>
      </w:r>
      <w:r>
        <w:rPr>
          <w:rFonts w:ascii="Times New Roman" w:cs="Times New Roman" w:eastAsia="Times New Roman" w:hAnsi="Times New Roman"/>
          <w:sz w:val="18"/>
          <w:szCs w:val="18"/>
          <w:b w:val="1"/>
          <w:bCs w:val="1"/>
          <w:color w:val="auto"/>
        </w:rPr>
        <w:t>2031 Notes Indenture</w:t>
      </w:r>
      <w:r>
        <w:rPr>
          <w:rFonts w:ascii="Times New Roman" w:cs="Times New Roman" w:eastAsia="Times New Roman" w:hAnsi="Times New Roman"/>
          <w:sz w:val="18"/>
          <w:szCs w:val="18"/>
          <w:color w:val="auto"/>
        </w:rPr>
        <w:t>”), providing for the issuance of the 1.375%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Bitfarms proposed to complete a plan of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under which Bitfarms will redomicile from Canada to the United States (the “</w:t>
      </w:r>
      <w:r>
        <w:rPr>
          <w:rFonts w:ascii="Times New Roman" w:cs="Times New Roman" w:eastAsia="Times New Roman" w:hAnsi="Times New Roman"/>
          <w:sz w:val="18"/>
          <w:szCs w:val="18"/>
          <w:b w:val="1"/>
          <w:bCs w:val="1"/>
          <w:color w:val="auto"/>
        </w:rPr>
        <w:t>U.S. Redomiciliation</w:t>
      </w:r>
      <w:r>
        <w:rPr>
          <w:rFonts w:ascii="Times New Roman" w:cs="Times New Roman" w:eastAsia="Times New Roman" w:hAnsi="Times New Roman"/>
          <w:sz w:val="18"/>
          <w:szCs w:val="18"/>
          <w:color w:val="auto"/>
        </w:rPr>
        <w:t>”). Pursuant to the Arrangement, on the terms and subject to the conditions set forth in the Arrangement, upon completion of the U.S. Redomiciliation, the ultimate parent of Bitfarms will be a corporation formed under the laws of the State of Delaware and operate under the name Keel Infrastructure Corp. (“</w:t>
      </w:r>
      <w:r>
        <w:rPr>
          <w:rFonts w:ascii="Times New Roman" w:cs="Times New Roman" w:eastAsia="Times New Roman" w:hAnsi="Times New Roman"/>
          <w:sz w:val="18"/>
          <w:szCs w:val="18"/>
          <w:b w:val="1"/>
          <w:bCs w:val="1"/>
          <w:color w:val="auto"/>
        </w:rPr>
        <w:t>Keel Infrastructure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subject to the Arrangement and the terms and conditions contained therein, at the effective time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on the effective date of the U.S. Redomiciliation (the “</w:t>
      </w:r>
      <w:r>
        <w:rPr>
          <w:rFonts w:ascii="Times New Roman" w:cs="Times New Roman" w:eastAsia="Times New Roman" w:hAnsi="Times New Roman"/>
          <w:sz w:val="18"/>
          <w:szCs w:val="18"/>
          <w:b w:val="1"/>
          <w:bCs w:val="1"/>
          <w:color w:val="auto"/>
        </w:rPr>
        <w:t>U.S. Redomiciliation Effective Date</w:t>
      </w:r>
      <w:r>
        <w:rPr>
          <w:rFonts w:ascii="Times New Roman" w:cs="Times New Roman" w:eastAsia="Times New Roman" w:hAnsi="Times New Roman"/>
          <w:sz w:val="18"/>
          <w:szCs w:val="18"/>
          <w:color w:val="auto"/>
        </w:rPr>
        <w:t>”) each common share of Bitfarms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outstanding immediately prior to the Effective Time on the U.S. Redomiciliation Effective Date will be exchanged for one share of common stock of Keel Infrastructure (the “</w:t>
      </w:r>
      <w:r>
        <w:rPr>
          <w:rFonts w:ascii="Times New Roman" w:cs="Times New Roman" w:eastAsia="Times New Roman" w:hAnsi="Times New Roman"/>
          <w:sz w:val="18"/>
          <w:szCs w:val="18"/>
          <w:b w:val="1"/>
          <w:bCs w:val="1"/>
          <w:color w:val="auto"/>
        </w:rPr>
        <w:t>Keel Common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WHEREAS, pursuant to Sections 10.01(h) and 14.07 of the 2031 Notes Indenture, the U.S. Redomiciliation constitutes a Merger Event, and the 2031 Notes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provides that, prior to or at the U.S. Redomiciliation Effective Date, Bitfarms and Keel Infrastructure shall execute with the Trustee a supplemental indenture, providing that, at and after the Effective Time, the right to convert each $1,000 principal amount of Notes shall be changed into a right to convert such principal amount of Notes into the kind and amount of Keel Common Stock that a holder of a number of Common Shares equal to the Conversion Rate immediately prior to the U.S. Redomiciliation would have owned or been entitled to receive (the “Reference Property,” with each “unit of Reference Property” meaning the kind and amount of Reference Property that a holder of one Common Share is entitled to receive) upon the U.S. Redomiciliation; and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all conditions for the execution and delivery of this Supplemental Indenture have been complied with or have been done or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DEFINED TERMS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 term defined in the 2031 Notes Indenture has the same meaning when used in this Supplemental Indenture unless such term is otherwise defined herein or amended or supplemented pursuant to this Supplemental Indenture. The words “herein,” “hereof,” “hereunder,” and words of similar import refer to this Supplemental Indenture as a whole and not to any particular Article, Section or other subdivision. The terms defined shall include the plural as well as the singular, unless context otherwise requires.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 OF MERGER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Agreement of Parties</w:t>
      </w:r>
      <w:r>
        <w:rPr>
          <w:rFonts w:ascii="Times New Roman" w:cs="Times New Roman" w:eastAsia="Times New Roman" w:hAnsi="Times New Roman"/>
          <w:sz w:val="18"/>
          <w:szCs w:val="18"/>
          <w:color w:val="auto"/>
        </w:rPr>
        <w:t>. In accordance with Section 14.07 of the 2031 Notes Indenture, at and after the Effective Time, the right to convert each $1,000 principal amount of Notes is hereby changed into a right to convert such principal amount of Notes into the kind and amount of Reference Property that a holder of a number of Common Shares equal to the Conversion Rate in effect immediately prior to the U.S. Redomiciliation Effective Date would have owned or been entitled to receive upon consummation of the U.S. Redomiciliation; provided, however, that at and after the effective time of the Merger Event (A) the Company shall continue to have the right to determine the form of consideration to be paid or delivered, as the case may be, upon conversion of Notes in accordance with Section 14.02 and (B) the Company shall continue to have the right (at the sole option of the Company or its successor or acquirer, as the case may be) to deliver either such Reference Property that is Ineligible Consideration or “prescribed securities,” for the purposes of clause 212(1)(b)(vii)(E) of the Tax Act as it applied for the 2007 taxation year, with a market value equal to the market value of such Ineligible Consideration.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(or its successor or acquirer, as the case may be) exercises its right to deliver “prescribed securities” for the purposes of clause 212(1)(b)(vii)(E) of the Tax Act as it applied for the 2007 taxation year, with a market value equal to the market value of the Ineligible Consideration, the Company (or its successor or acquirer, as the case may be) will notify the Holders of such Notes and, at that time, Keel Infrastructure may offer to acquire the Notes in consideration for common shares of Keel Common Stock.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provisions of the 2031 Notes Indenture, as modified herein, including without limitation (i) all references to and provisions respecting the terms “Common Shares,” “Conversion Price,” “Conversion Obligation” and “Conversion Rate” and (ii) the provisions of Section 14.01 of the 2031 Notes Indenture respecting when a Holder of Notes may surrender its Notes for conversion, shall continue to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Holders’ right to convert the Notes into Reference Property. As and to the extent required by Article 14 of the Indenture, the Conversion Rate shall be adjusted as a result of events occurring subsequent to the date hereof with respect to the Reference Property as nearly equivalent as possible to the adjustments provided for in Article 14 of the 2031 Notes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 JOINT AND SEVERAL LIABILITY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Co-Obligor.</w:t>
      </w:r>
      <w:r>
        <w:rPr>
          <w:rFonts w:ascii="Times New Roman" w:cs="Times New Roman" w:eastAsia="Times New Roman" w:hAnsi="Times New Roman"/>
          <w:sz w:val="18"/>
          <w:szCs w:val="18"/>
          <w:color w:val="auto"/>
        </w:rPr>
        <w:t xml:space="preserve"> Keel Infrastructure, as co-obligor, hereby expressly assumes, jointly and severally with Bitfarms, liability for (a) the due and punctual payment of the principal of (and premium, if any, on) and interest (if any) (including Additional Interest, if any) on all of the Notes issued under the 2031 Notes Indenture, (b) the due and punctual delivery of cash and/or Keel Common Stock, as applicable, upon conversion of the Notes upon the exercise by a Holder of the conversion privilege pursuant to Article 14 of the 2031 Notes Indenture and (c) the due and punctual performance and observance of all the obligations, covenants and conditions of the 2031 Notes Indenture to be performed by Bitfarms for the benefit of the Holders and the Trustee.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Obligations of Bitfarms Ltd.</w:t>
      </w:r>
      <w:r>
        <w:rPr>
          <w:rFonts w:ascii="Times New Roman" w:cs="Times New Roman" w:eastAsia="Times New Roman" w:hAnsi="Times New Roman"/>
          <w:sz w:val="18"/>
          <w:szCs w:val="18"/>
          <w:color w:val="auto"/>
        </w:rPr>
        <w:t xml:space="preserve"> Notwithstanding the agreement of Keel Infrastructure to become jointly and severally liable for the due and punctual payment of the principal of (and premium, if any, on) and interest, if any (including Additional Interest, if any), on all the Notes issued under and subject to the 2031 Notes Indenture and for the delivery of cash and, if applicable, Keel Common Stock upon conversion of the Notes pursuant to Article 14 of the 2031 Notes Indenture, Bitfarms Ltd. remains the issuer of the Notes and fully liable for all of its obligations under the 2031 Notes Indenture and has not been released from any liabilities or obligations thereunder.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Effectiveness; Construction.</w:t>
      </w:r>
      <w:r>
        <w:rPr>
          <w:rFonts w:ascii="Times New Roman" w:cs="Times New Roman" w:eastAsia="Times New Roman" w:hAnsi="Times New Roman"/>
          <w:sz w:val="18"/>
          <w:szCs w:val="18"/>
          <w:color w:val="auto"/>
        </w:rPr>
        <w:t xml:space="preserve"> This Supplemental Indenture shall become effective upon its execution and delivery by Bitfarms, Keel Infrastructure and the Trustee as of the date hereof. Upon such effectiveness, the 2031 Notes Indenture shall be supplemented in accordance herewith. This Supplemental Indenture shall form a part of the 2031 Notes Indenture for all purposes, and every Holder of Notes heretofore or hereafter authenticated and delivered under the 2031 Notes Indenture shall be bound thereby. The 2031 Notes Indenture and the Supplemental Indenture shall henceforth be read and construed together. The Trustee accepts the 2031 Notes Indenture, as supplemented hereby, and agrees to perform the same upon the terms and conditions set forth herein, as supplemented hereby.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Indenture Remains in Full Force and Effect</w:t>
      </w:r>
      <w:r>
        <w:rPr>
          <w:rFonts w:ascii="Times New Roman" w:cs="Times New Roman" w:eastAsia="Times New Roman" w:hAnsi="Times New Roman"/>
          <w:sz w:val="18"/>
          <w:szCs w:val="18"/>
          <w:color w:val="auto"/>
        </w:rPr>
        <w:t>. Except as supplemented hereby, all provisions in the 2031 Notes Indenture shall remain in full force and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Nothing in this Supplemental Indenture, expressed or implied, shall give to any Person, other than the parties to the 2031 Notes Indenture, any Paying Agent, any Conversion Agent, any authenticating agent, any Registrar and their successors under the 2031 Notes Indenture or the Holders of the Notes, any benefit or any legal or equitable right, remedy or claim under the 2031 Notes Indenture, as supplemented hereby.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the event any provision of this Supplemental Indenture shall be invalid, illegal or unenforceable, then (to the extent permitted by law) the validity, legality or enforceability of the remaining provisions shall not in any way be affected or impaired.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and Section headings of this Supplemental Indenture have been inserted for convenience of reference only and are not to be considered a part of this Supplemental Indenture and shall in no way modify or restrict any of the terms or provisions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Bitfarms, Keel Infrastructure and the Trustee in this Supplemental Indenture shall bind their respective successors and assigns whether so expressed or not.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SUPPLEMENTAL INDENTURE AND THE NOTES, AND ANY CLAIM, CONTROVERSY OR DISPUTE ARISING UNDER OR RELATED TO THE 2031 NOTES INDENTURE OR THE NOTES, SHALL BE GOVERNED BY, AND CONSTRUED IN ACCORDANCE WITH, THE LAWS OF THE STATE OF NEW YORK.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Counterpart Signatures</w:t>
      </w:r>
      <w:r>
        <w:rPr>
          <w:rFonts w:ascii="Times New Roman" w:cs="Times New Roman" w:eastAsia="Times New Roman" w:hAnsi="Times New Roman"/>
          <w:sz w:val="18"/>
          <w:szCs w:val="18"/>
          <w:color w:val="auto"/>
        </w:rPr>
        <w:t>. This Supplemental Indenture (and to any document executed in connection with this Indenture, except for the Notes)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 For the avoidance of doubt, the Trustee shall authenticate the Notes by manual signature and the Issuer shall execute the Notes by manual signature.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The Trustee makes no representation or warranty as to the validity or sufficiency of this Supplemental Indenture or with respect to the recitals contained herein, all of which recitals are made solely by the other parties hereto. Bitfarms hereby requests the Trustee to execute this Supplemental Indenture, and Bitfarms acknowledges that, in so acting, the Trustee shall be entitled to the rights, privileges, benefits, protections, indemnities, limitations of liability and immunities of the Trustee as set forth in the Indenture.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day and year first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BITFARMS LTD.</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 for 1.375% Convertible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left="5640"/>
        <w:spacing w:after="0"/>
        <w:rPr>
          <w:sz w:val="20"/>
          <w:szCs w:val="20"/>
          <w:color w:val="auto"/>
        </w:rPr>
      </w:pPr>
      <w:r>
        <w:rPr>
          <w:rFonts w:ascii="Times New Roman" w:cs="Times New Roman" w:eastAsia="Times New Roman" w:hAnsi="Times New Roman"/>
          <w:sz w:val="17"/>
          <w:szCs w:val="17"/>
          <w:color w:val="auto"/>
        </w:rPr>
        <w:t>COMPUTERSHARE TRUST COMPANY, N.A., as trustee</w:t>
      </w:r>
    </w:p>
    <w:p>
      <w:pPr>
        <w:spacing w:after="0" w:line="23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Sara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942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Sara Corcoran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 for 1.375% Convertible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337" w:right="519" w:bottom="1440" w:gutter="0" w:footer="0" w:header="0"/>
        </w:sectPr>
      </w:pPr>
    </w:p>
    <w:bookmarkStart w:id="49" w:name="page50"/>
    <w:bookmarkEnd w:id="49"/>
    <w:p>
      <w:pPr>
        <w:ind w:left="5640"/>
        <w:spacing w:after="0"/>
        <w:rPr>
          <w:sz w:val="20"/>
          <w:szCs w:val="20"/>
          <w:color w:val="auto"/>
        </w:rPr>
      </w:pPr>
      <w:r>
        <w:rPr>
          <w:rFonts w:ascii="Times New Roman" w:cs="Times New Roman" w:eastAsia="Times New Roman" w:hAnsi="Times New Roman"/>
          <w:sz w:val="17"/>
          <w:szCs w:val="17"/>
          <w:color w:val="auto"/>
        </w:rPr>
        <w:t>COMPUTERSHARE TRUST COMPANY OF CANADA, as</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Canadian co-trustee</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Lateefah Akinde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Lateefah Akinde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Corporate Trust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Zhel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Zhel Peters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Corporate Trust Officer</w:t>
      </w:r>
    </w:p>
    <w:p>
      <w:pPr>
        <w:spacing w:after="0" w:line="2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 for 1.375% Convertible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37" w:right="3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LONG-TERM PERFORMANCE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ESTABLISHMENT AND PURPOSE OF THIS PLAN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name of the plan is the Keel Infrastructure Corp. - Amended and Restated Long-Term Performance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Plan was entered into to amend and restate Bitfarms Ltd.’s Long-Term Incentive Plan approved by the shareholders of Bitfarms Ltd. on June 30, 2025. The amendment and restatement is being made in connection with Bitfarms Ltd.’s redomiciliation to the U.S whereby shareholders of Bitfarms Ltd. will exchange their shares for shares of common stock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this Plan is to promote the long-term success of the Company and the creation of Shareholder value by: (a) encouraging the attraction and retention of Eligible Persons; (b) encouraging such Eligible Persons to focus on critical long-term objectives; and (c) promoting greater alignment of the interests of such Eligible Persons with the interests of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this end, this Plan provides for the grant of Restricted Share Units, Performance Share Units, Deferred Share Units and Options to Eligible Persons as further described in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Plan, the following terms shall have the meanings set forth below:</w:t>
      </w:r>
    </w:p>
    <w:p>
      <w:pPr>
        <w:spacing w:after="0" w:line="221" w:lineRule="exact"/>
        <w:rPr>
          <w:sz w:val="20"/>
          <w:szCs w:val="20"/>
          <w:color w:val="auto"/>
        </w:rPr>
      </w:pPr>
    </w:p>
    <w:p>
      <w:pPr>
        <w:ind w:left="1300" w:right="20" w:hanging="644"/>
        <w:spacing w:after="0" w:line="28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unless otherwise required by the TSX with respect to an Award, a Person that directly, or indirectly through one or more intermediaries, controls, or is controlled by, or is under common control with, the Person specified;</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of Restricted Share Units, Performance Share Units, Deferred Share Units, or Options granted under this Plan;</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any written agreement, contract, or other instrument or document, including an electronic communication, as may from time to time be designated by the Company as evidencing any Award granted under this Plan;</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means, with respect to any person, the period of time when, pursuant to any policies or determinations of the Company, securities of the Company may not be traded by such person, including any period when such person has material undisclosed information with respect to the Company, but excluding any period during which a regulator has halted trading in the Company’s securities;</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ind w:left="644" w:right="20" w:hanging="644"/>
        <w:spacing w:after="0" w:line="286"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(i) a Saturday or a Sunday or (ii) a day on which commercial banking institutions in New York, New York or Toronto, Ontario, Canada are authorized or required by Law to be closed;</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has the meaning given to that term in Section 5(d)(xii);</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Cessation Date</w:t>
      </w:r>
      <w:r>
        <w:rPr>
          <w:rFonts w:ascii="Times New Roman" w:cs="Times New Roman" w:eastAsia="Times New Roman" w:hAnsi="Times New Roman"/>
          <w:sz w:val="18"/>
          <w:szCs w:val="18"/>
          <w:color w:val="auto"/>
        </w:rPr>
        <w:t>” means, the effective date on which a Participant ceases to be a Director of the Company or a Subsidiary for any reason;</w:t>
      </w:r>
    </w:p>
    <w:p>
      <w:pPr>
        <w:spacing w:after="0" w:line="225"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otherwise defined in the Participant’s employment or service agreement or in the applicable Award Agreement, the occurrence of any of the following:</w:t>
      </w:r>
    </w:p>
    <w:p>
      <w:pPr>
        <w:spacing w:after="0" w:line="158"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at any time and by whatever means pursuant to which any Person or any group of two or more Persons acting jointly or in concert (other than the Company or any wholly owned subsidiary of the Company) becomes the “beneficial owner” (as defined in Rule 13d-3 under the United States Securities Exchange Act of 1934, as amended) of, or acquires the right to exercise control or direction over, securities of the Company representing fifty percent (50%) or more of the then issued and outstanding voting securities of the Company in any manner whatsoever, including, without limitation, as a result of an issuance or exchange of securities, a merger of the Company with any other Person, a capital reorganization or any other business combination or reorganization;</w:t>
      </w:r>
    </w:p>
    <w:p>
      <w:pPr>
        <w:spacing w:after="0" w:line="188"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assignment or other transfer of all or substantially all of the assets of the Company to a Person or any group of two or more Persons acting jointly or in concert (other than a wholly owned subsidiary of the Company);</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10 Business Days prior to the consummation of a complete dissolution or liquidation of the Company, except in connection with the distribution of assets of the Company to one or more Persons which were wholly-owned subsidiaries of the Company prior to such event;</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transaction requiring approval of the Company’s security holders whereby the Company is acquired through consolidation, merger, exchange of securities, purchase of assets, amalgamation, statutory arrangement or otherwise by any Person or any group of two or more Persons acting jointly or in concert (other than an exchange of securities with a wholly-owned subsidiary of the Company); or</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any twelve-month period by directors whose appointment or election is not endorsed by a majority of the Board before the date of appointment or election;</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provided that an event described in this definition shall not constitute a Change of Control where such event occurs as a result of a Permitted Reorganization;</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52" w:name="page53"/>
    <w:bookmarkEnd w:id="52"/>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or any successor thereto;</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such committee of the Board performing functions in respect of compensation as may be determined by the Board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Keel Infrastructure Corp., a Delaware corporation, and any of its successors or assigns;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Constructive Dismissal</w:t>
      </w:r>
      <w:r>
        <w:rPr>
          <w:rFonts w:ascii="Times New Roman" w:cs="Times New Roman" w:eastAsia="Times New Roman" w:hAnsi="Times New Roman"/>
          <w:sz w:val="18"/>
          <w:szCs w:val="18"/>
          <w:color w:val="auto"/>
        </w:rPr>
        <w:t>” unless otherwise defined in the Participant’s employment agreement or in the applicable Award Agreement, has the meaning ascribed thereto pursuant to applicable common law and shall include, without in any way limiting its meaning under applicable common law, any material change (other than a change which is clearly consistent with a promotion) imposed by the Company, or any of its subsidiaries or Affiliates, without the Participant’s consent to the Participant’s title, responsibilities or reporting relationships, or a material reduction of the Participant’s compensation except where such reduction is applicable to all officers, if the Participant is an officer, or all employees, if the Participant is an employee of the Employer, provided that the termination of any Participant shall be considered to arise as a result of Constructive Dismissal only if such termination occurs due to such Participant resigning from employment within 30 days of the occurrence of the event described as giving rise to such Constructive Dismissal;</w:t>
      </w:r>
    </w:p>
    <w:p>
      <w:pPr>
        <w:spacing w:after="0" w:line="18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 individual (other than a Key Employee or Director) that:</w:t>
      </w:r>
    </w:p>
    <w:p>
      <w:pPr>
        <w:spacing w:after="0" w:line="227" w:lineRule="exact"/>
        <w:rPr>
          <w:rFonts w:ascii="Times New Roman" w:cs="Times New Roman" w:eastAsia="Times New Roman" w:hAnsi="Times New Roman"/>
          <w:sz w:val="18"/>
          <w:szCs w:val="18"/>
          <w:color w:val="auto"/>
        </w:rPr>
      </w:pPr>
    </w:p>
    <w:p>
      <w:pPr>
        <w:ind w:left="1304" w:hanging="656"/>
        <w:spacing w:after="0" w:line="284"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engaged to provide, on an ongoing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basis, consulting, technical, management or other services to the Company or an affiliate of the Company, other than services provided in relation to a distribution (as defined in the Securities Act);</w:t>
      </w:r>
    </w:p>
    <w:p>
      <w:pPr>
        <w:spacing w:after="0" w:line="160"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services under a written contract between the Company or any of its subsidiaries and the Person or the Company, as the case may be; and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opinion of the Company, spends or will spend a significant amount of time on the affairs and business of the Company or of any of the Company’s subsidiaries;</w:t>
      </w:r>
    </w:p>
    <w:p>
      <w:pPr>
        <w:spacing w:after="0" w:line="157"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right to receive on a deferred basis a payment in either Shares or cash as provided in Section 5(c) hereof and subject to the terms and conditions of this Plan and the applicable Award Agreement;</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means a date determined by the Board in its sole discretion but not later than 90 days after the expiry of a Performance Cycle;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53" w:name="page54"/>
    <w:bookmarkEnd w:id="53"/>
    <w:p>
      <w:pPr>
        <w:ind w:left="644" w:hanging="644"/>
        <w:spacing w:after="0" w:line="28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any medical condition which qualifies a Participant for benefits under a long-term disability plan of the Company or Subsidiary;</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7"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Shareholder Approval</w:t>
      </w:r>
      <w:r>
        <w:rPr>
          <w:rFonts w:ascii="Times New Roman" w:cs="Times New Roman" w:eastAsia="Times New Roman" w:hAnsi="Times New Roman"/>
          <w:sz w:val="18"/>
          <w:szCs w:val="18"/>
          <w:color w:val="auto"/>
        </w:rPr>
        <w:t>” means approval by a majority of the votes cast by all the Company’s Shareholders at a duly constituted meeting of Shareholders, excluding votes attached to Shares beneficially owned by Insiders to whom Awards may be granted under this Plan, or, with respect to a grant, issue or amendment of an Award that requires Disinterested Shareholder Approval pursuant to the rules and policies of the TSX, approval by a majority of the votes cast by all the Company’s Shareholders at a duly constituted meeting of Shareholders, excluding votes attached to Shares beneficially owned by Eligible Persons that hold or will hold an Award subject to such grant, issue or amendment, and the Affiliates of such Eligible Persons;</w:t>
      </w:r>
    </w:p>
    <w:p>
      <w:pPr>
        <w:spacing w:after="0" w:line="18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8;</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Form</w:t>
      </w:r>
      <w:r>
        <w:rPr>
          <w:rFonts w:ascii="Times New Roman" w:cs="Times New Roman" w:eastAsia="Times New Roman" w:hAnsi="Times New Roman"/>
          <w:sz w:val="18"/>
          <w:szCs w:val="18"/>
          <w:color w:val="auto"/>
        </w:rPr>
        <w:t>” means the form to be completed by a Director specifying the amount of Fees he or she wishes to receive in Deferred Share Units under this Plan;</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Directors, officers, Key Employees, Consultants or management company employees of the Company and its Subsidiaries, or companies in which Directors, officers, Key Employees, Consultants or management company employees of the Company have control;</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unless otherwise determined by the Board or defined in the applicable Award Agreement, the closing sale price of a Share reported on the last preceding Trading Day on which there was a sale of Shares on the Nasdaq Stock Market;</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the annual board retainer, chair fees, meeting attendance fees or any other fees payable to a Director by the Company;</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Plan</w:t>
      </w:r>
      <w:r>
        <w:rPr>
          <w:rFonts w:ascii="Times New Roman" w:cs="Times New Roman" w:eastAsia="Times New Roman" w:hAnsi="Times New Roman"/>
          <w:sz w:val="18"/>
          <w:szCs w:val="18"/>
          <w:color w:val="auto"/>
        </w:rPr>
        <w:t>” means the Company’s Long-Term Incentive Plan, as adopted on May 18, 2021, and amended on March 18, 2021, March 3, 2022, January 15, 2024 and April 16, 2024;</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for any Award, the date specified by the Board as the grant date at the time it grants the Award or, if no such date is specified, the date upon which the Award was actually granted;</w:t>
      </w:r>
    </w:p>
    <w:p>
      <w:pPr>
        <w:spacing w:after="0" w:line="155" w:lineRule="exact"/>
        <w:rPr>
          <w:sz w:val="20"/>
          <w:szCs w:val="20"/>
          <w:color w:val="auto"/>
        </w:rPr>
      </w:pPr>
    </w:p>
    <w:p>
      <w:pPr>
        <w:ind w:left="4924" w:right="5580" w:hanging="4924"/>
        <w:spacing w:after="0" w:line="544" w:lineRule="auto"/>
        <w:tabs>
          <w:tab w:leader="none" w:pos="64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Insider</w:t>
      </w:r>
      <w:r>
        <w:rPr>
          <w:rFonts w:ascii="Times New Roman" w:cs="Times New Roman" w:eastAsia="Times New Roman" w:hAnsi="Times New Roman"/>
          <w:sz w:val="17"/>
          <w:szCs w:val="17"/>
          <w:color w:val="auto"/>
        </w:rPr>
        <w:t>” has the meaning attributed thereto in the Manual;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281305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54" w:name="page55"/>
    <w:bookmarkEnd w:id="54"/>
    <w:p>
      <w:pPr>
        <w:ind w:left="644" w:hanging="644"/>
        <w:spacing w:after="0" w:line="286"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Relations Activities</w:t>
      </w:r>
      <w:r>
        <w:rPr>
          <w:rFonts w:ascii="Times New Roman" w:cs="Times New Roman" w:eastAsia="Times New Roman" w:hAnsi="Times New Roman"/>
          <w:sz w:val="18"/>
          <w:szCs w:val="18"/>
          <w:color w:val="auto"/>
        </w:rPr>
        <w:t>” means any activities, by or on behalf of the Company or a Shareholder of the Company, that promote or reasonably could be expected to promote the purchase or sale of securities of the Company, but does not include:</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dissemination of information provided, or records prepared, in the ordinary course of business of the Company</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sale of products or services of the Company, or</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raise public awareness of the Company,</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that cannot reasonably be considered to promote the purchase or sale of securities of the Company;</w:t>
      </w:r>
    </w:p>
    <w:p>
      <w:pPr>
        <w:spacing w:after="0" w:line="225" w:lineRule="exact"/>
        <w:rPr>
          <w:sz w:val="20"/>
          <w:szCs w:val="20"/>
          <w:color w:val="auto"/>
        </w:rPr>
      </w:pPr>
    </w:p>
    <w:p>
      <w:pPr>
        <w:ind w:left="1304" w:hanging="656"/>
        <w:spacing w:after="0"/>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or communications necessary to comply with the requirements of:</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securities laws;</w:t>
      </w:r>
    </w:p>
    <w:p>
      <w:pPr>
        <w:spacing w:after="0" w:line="225" w:lineRule="exact"/>
        <w:rPr>
          <w:rFonts w:ascii="Times New Roman" w:cs="Times New Roman" w:eastAsia="Times New Roman" w:hAnsi="Times New Roman"/>
          <w:sz w:val="18"/>
          <w:szCs w:val="18"/>
          <w:color w:val="auto"/>
        </w:rPr>
      </w:pPr>
    </w:p>
    <w:p>
      <w:pPr>
        <w:ind w:left="1944" w:right="20" w:hanging="648"/>
        <w:spacing w:after="0" w:line="282" w:lineRule="auto"/>
        <w:tabs>
          <w:tab w:leader="none" w:pos="194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TSX requirements or the bylaws, rules or other regulatory instruments of any other self-regulatory body or exchange having jurisdiction over the Company;</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by a publisher of, or writer for, a newspaper, magazine or business or financial publication, that is of general and regular paid circulation, distributed only to subscribers to it for value or to purchasers of it, if:</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 is only through the newspaper, magazine or publication, and</w:t>
      </w:r>
    </w:p>
    <w:p>
      <w:pPr>
        <w:spacing w:after="0" w:line="225"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publisher or writer receives no commission or other consideration other than for acting in the capacity of publisher or writer;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or communications that may be otherwise specified by the TSX;</w:t>
      </w:r>
    </w:p>
    <w:p>
      <w:pPr>
        <w:spacing w:after="0" w:line="221"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Employees</w:t>
      </w:r>
      <w:r>
        <w:rPr>
          <w:rFonts w:ascii="Times New Roman" w:cs="Times New Roman" w:eastAsia="Times New Roman" w:hAnsi="Times New Roman"/>
          <w:sz w:val="18"/>
          <w:szCs w:val="18"/>
          <w:color w:val="auto"/>
        </w:rPr>
        <w:t>” means employees, including officers, whether Directors or not, and including both full-time and part-time employees of the Company or any Subsidiary who, by the nature of their positions or jobs are, in the opinion of the Board, in a position to contribute to the success of the Company;</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Manual</w:t>
      </w:r>
      <w:r>
        <w:rPr>
          <w:rFonts w:ascii="Times New Roman" w:cs="Times New Roman" w:eastAsia="Times New Roman" w:hAnsi="Times New Roman"/>
          <w:sz w:val="18"/>
          <w:szCs w:val="18"/>
          <w:color w:val="auto"/>
        </w:rPr>
        <w:t>” means the TSX Company Manual, as amended from time to time;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has the meaning given to that term in Section 5(d)(xi);</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incentive share purchase options entitling the holder thereof to purchase Shares;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any Eligible Person to whom Awards under this Plan are granted;</w:t>
      </w: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55" w:name="page56"/>
    <w:bookmarkEnd w:id="55"/>
    <w:p>
      <w:pPr>
        <w:ind w:left="644" w:hanging="644"/>
        <w:spacing w:after="0" w:line="28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Participant’s Account</w:t>
      </w:r>
      <w:r>
        <w:rPr>
          <w:rFonts w:ascii="Times New Roman" w:cs="Times New Roman" w:eastAsia="Times New Roman" w:hAnsi="Times New Roman"/>
          <w:sz w:val="18"/>
          <w:szCs w:val="18"/>
          <w:color w:val="auto"/>
        </w:rPr>
        <w:t>” means a notional account maintained for each Participant’s participation in this Plan which will show any Restricted Share Units, Performance Share Units, Deferred Share Units, or Options credited to a Participant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Performance-Based Award</w:t>
      </w:r>
      <w:r>
        <w:rPr>
          <w:rFonts w:ascii="Times New Roman" w:cs="Times New Roman" w:eastAsia="Times New Roman" w:hAnsi="Times New Roman"/>
          <w:sz w:val="18"/>
          <w:szCs w:val="18"/>
          <w:color w:val="auto"/>
        </w:rPr>
        <w:t>” means, collectively, Performance Share Units and Restricted Share Units;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means criteria established by the Board which, without limitation, may include criteria based on the Participant’s personal performance and/or financial performance of the Company and its Subsidiaries, and that are to be used to determine the vesting of the Performance Share Units;</w:t>
      </w:r>
    </w:p>
    <w:p>
      <w:pPr>
        <w:spacing w:after="0" w:line="170"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Cycle</w:t>
      </w:r>
      <w:r>
        <w:rPr>
          <w:rFonts w:ascii="Times New Roman" w:cs="Times New Roman" w:eastAsia="Times New Roman" w:hAnsi="Times New Roman"/>
          <w:sz w:val="18"/>
          <w:szCs w:val="18"/>
          <w:color w:val="auto"/>
        </w:rPr>
        <w:t>” means the applicable performance cycle of the Performance Share Units as may be specified by the Board in the applicable Award Agreement;</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Share Unit</w:t>
      </w:r>
      <w:r>
        <w:rPr>
          <w:rFonts w:ascii="Times New Roman" w:cs="Times New Roman" w:eastAsia="Times New Roman" w:hAnsi="Times New Roman"/>
          <w:sz w:val="18"/>
          <w:szCs w:val="18"/>
          <w:color w:val="auto"/>
        </w:rPr>
        <w:t>” means a right awarded to a Participant to receive a payment in Shares as provided in Section 5(b) hereof and subject to the terms and conditions of this Plan and the applicable Award Agreement;</w:t>
      </w:r>
    </w:p>
    <w:p>
      <w:pPr>
        <w:spacing w:after="0" w:line="154" w:lineRule="exact"/>
        <w:rPr>
          <w:rFonts w:ascii="Times New Roman" w:cs="Times New Roman" w:eastAsia="Times New Roman" w:hAnsi="Times New Roman"/>
          <w:sz w:val="18"/>
          <w:szCs w:val="18"/>
          <w:color w:val="auto"/>
        </w:rPr>
      </w:pPr>
    </w:p>
    <w:p>
      <w:pPr>
        <w:jc w:val="both"/>
        <w:ind w:left="644" w:right="20" w:hanging="644"/>
        <w:spacing w:after="0" w:line="268"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a reorganization of the Company, whether alone or in any combination with any of its subsidiaries or Affiliates, in circumstances where the shareholdings or ultimate ownership remains substantially the same upon the completion of the reorganization;</w:t>
      </w:r>
    </w:p>
    <w:p>
      <w:pPr>
        <w:spacing w:after="0" w:line="170"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association, joint-stock company, trust, unincorporated organization, or governmental authority or body;</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means the time period between the Grant Date and the Vesting Date of an Award specified by the Board in the applicable Award Agreement;</w:t>
      </w:r>
    </w:p>
    <w:p>
      <w:pPr>
        <w:spacing w:after="0" w:line="15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means a right awarded to a Participant to receive a payment in Shares as provided in Section 5(a) hereof and subject to the terms and conditions of this Plan and the applicable Award Agreement;</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retirement from active employment with the Company or a Subsidiary (i) after attaining age 55 and completing at least three (3) years of service with the Company or a Subsidiary, and/or (ii) with the consent of the Chief Executive Officer the Company (or his or her designee);</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amended from time to time;</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Security-Based Compensation Arrangement</w:t>
      </w:r>
      <w:r>
        <w:rPr>
          <w:rFonts w:ascii="Times New Roman" w:cs="Times New Roman" w:eastAsia="Times New Roman" w:hAnsi="Times New Roman"/>
          <w:sz w:val="18"/>
          <w:szCs w:val="18"/>
          <w:color w:val="auto"/>
        </w:rPr>
        <w:t>” shall have the meaning ascribed thereto in the rules and policies of the TSX, or in the event that such term is not defined in the rules and policies of the TSX, shall mean a stock option, stock option plan, employee stock purchase plan, long-term incentive plan or any other compensation or incentive mechanism involving the issuance or potential issuance of Shares from treasury to one or more eligible Key Employees, officers, Insiders, service providers or Consultants of the Company or a Subsidiary;</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56" w:name="page57"/>
    <w:bookmarkEnd w:id="56"/>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a registered or beneficial holder of shares or, if the context requires, other securities of a Company;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common shares of the Company;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corporation, company or partnership that is controlled, directly or indirectly, by the Company;</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as applicable: (i) in the event of a Participant’s Retirement, voluntary termination or termination of employment as a result of a Disability, the date on which such Participant ceases to be an employee or a Consultant of the Company or a Subsidiary; and (ii) in the event of termination of the Participant’s employment or consulting contract by the Company or a Subsidiary, the date on which such Participant is advised by the Company or a Subsidiary, in writing or verbally, that his or her services are no longer required;</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date on which the Nasdaq Stock Market is open for trading;</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the consummation of any one of the following:</w:t>
      </w:r>
    </w:p>
    <w:p>
      <w:pPr>
        <w:spacing w:after="0" w:line="229"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the dissolution, liquidation or wind-up of the Company;</w:t>
      </w:r>
    </w:p>
    <w:p>
      <w:pPr>
        <w:spacing w:after="0" w:line="225" w:lineRule="exact"/>
        <w:rPr>
          <w:rFonts w:ascii="Times New Roman" w:cs="Times New Roman" w:eastAsia="Times New Roman" w:hAnsi="Times New Roman"/>
          <w:sz w:val="18"/>
          <w:szCs w:val="18"/>
          <w:color w:val="auto"/>
        </w:rPr>
      </w:pPr>
    </w:p>
    <w:p>
      <w:pPr>
        <w:jc w:val="both"/>
        <w:ind w:left="2584" w:hanging="640"/>
        <w:spacing w:after="0" w:line="261" w:lineRule="auto"/>
        <w:tabs>
          <w:tab w:leader="none" w:pos="25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reorganization of the Company with one or more corporations or other entities as a result of which, immediately following such event, the shareholders of the Company as a group, as they were immediately prior to such event, are expected to hold less than a majority of the outstanding capital stock of the surviving corporation;</w:t>
      </w:r>
    </w:p>
    <w:p>
      <w:pPr>
        <w:spacing w:after="0" w:line="179" w:lineRule="exact"/>
        <w:rPr>
          <w:rFonts w:ascii="Times New Roman" w:cs="Times New Roman" w:eastAsia="Times New Roman" w:hAnsi="Times New Roman"/>
          <w:sz w:val="18"/>
          <w:szCs w:val="18"/>
          <w:color w:val="auto"/>
        </w:rPr>
      </w:pPr>
    </w:p>
    <w:p>
      <w:pPr>
        <w:ind w:left="2584" w:right="20" w:hanging="640"/>
        <w:spacing w:after="0" w:line="282" w:lineRule="auto"/>
        <w:tabs>
          <w:tab w:leader="none" w:pos="25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all or substantially all of the issued and outstanding shares of the Company by one or more Persons or Entities;</w:t>
      </w:r>
    </w:p>
    <w:p>
      <w:pPr>
        <w:spacing w:after="0" w:line="161" w:lineRule="exact"/>
        <w:rPr>
          <w:rFonts w:ascii="Times New Roman" w:cs="Times New Roman" w:eastAsia="Times New Roman" w:hAnsi="Times New Roman"/>
          <w:sz w:val="18"/>
          <w:szCs w:val="18"/>
          <w:color w:val="auto"/>
        </w:rPr>
      </w:pPr>
    </w:p>
    <w:p>
      <w:pPr>
        <w:ind w:left="2584" w:hanging="640"/>
        <w:spacing w:after="0"/>
        <w:tabs>
          <w:tab w:leader="none" w:pos="25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Company;</w:t>
      </w:r>
    </w:p>
    <w:p>
      <w:pPr>
        <w:spacing w:after="0" w:line="225" w:lineRule="exact"/>
        <w:rPr>
          <w:rFonts w:ascii="Times New Roman" w:cs="Times New Roman" w:eastAsia="Times New Roman" w:hAnsi="Times New Roman"/>
          <w:sz w:val="18"/>
          <w:szCs w:val="18"/>
          <w:color w:val="auto"/>
        </w:rPr>
      </w:pPr>
    </w:p>
    <w:p>
      <w:pPr>
        <w:ind w:left="2584" w:hanging="640"/>
        <w:spacing w:after="0"/>
        <w:tabs>
          <w:tab w:leader="none" w:pos="25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 or</w:t>
      </w:r>
    </w:p>
    <w:p>
      <w:pPr>
        <w:spacing w:after="0" w:line="225" w:lineRule="exact"/>
        <w:rPr>
          <w:rFonts w:ascii="Times New Roman" w:cs="Times New Roman" w:eastAsia="Times New Roman" w:hAnsi="Times New Roman"/>
          <w:sz w:val="18"/>
          <w:szCs w:val="18"/>
          <w:color w:val="auto"/>
        </w:rPr>
      </w:pPr>
    </w:p>
    <w:p>
      <w:pPr>
        <w:jc w:val="both"/>
        <w:ind w:left="2584" w:hanging="640"/>
        <w:spacing w:after="0" w:line="266" w:lineRule="auto"/>
        <w:tabs>
          <w:tab w:leader="none" w:pos="25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alteration of the capital structure of the Company which, in the opinion of the Board, is of such a nature that it is not practical or feasible to make adjustments to this Plan or to Awards granted hereunder to permit this Plan and Awards granted hereunder to stay in effect.</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57" w:name="page58"/>
    <w:bookmarkEnd w:id="57"/>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 and</w:t>
      </w:r>
    </w:p>
    <w:p>
      <w:pPr>
        <w:spacing w:after="0" w:line="225" w:lineRule="exact"/>
        <w:rPr>
          <w:sz w:val="20"/>
          <w:szCs w:val="20"/>
          <w:color w:val="auto"/>
        </w:rPr>
      </w:pPr>
    </w:p>
    <w:p>
      <w:pPr>
        <w:ind w:left="1300" w:hanging="644"/>
        <w:spacing w:after="0" w:line="28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means in respect of any Award, the date when the Award is fully vested in accordance with the provisions of this Plan and the applicable Award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TO ADMINISTER PLAN. Except as otherwise provided herein, this Plan shall be administered by the Board and the Board shall have full authority to administer this Plan, including the authority to interpret and construe any provision of this Plan and to adopt, amend and rescind such rules and regulations for administering this Plan as the Board may deem necessary in order to comply with the requirements of this Plan.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TO COMMITTEE. All of the powers exercisable hereunder by the Board may, to the extent permitted by applicable law and as determined by resolution of the Board, be delegated to and exercised by the Committee or such other committee as the Board may determine.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All actions taken and all interpretations and determinations made or approved by the Board in good faith shall be final and conclusive and shall be binding on the Participants and the Company.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LIABILITY. No Director shall be personally liable for any action taken or determination or interpretation made or approved in good faith in connection with this Plan and the Directors shall, in addition to their rights as Directors, be fully protected, indemnified and held harmless by the Company with respect to any such action taken or determination or interpretation made. The appropriate officers of the Company are hereby authorized and empowered to do all things and execute and deliver all instruments, undertakings and applications and writings as they, in their absolute discretion, consider necessary for the implementation of this Plan and of the rules and regulations established for administering this Plan. All costs incurred in connection with this Plan shall be for the account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SHARES AVAILABLE FOR AWARDS</w:t>
      </w:r>
    </w:p>
    <w:p>
      <w:pPr>
        <w:spacing w:after="0" w:line="22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SHARES AVAILABLE FOR ISSUANCE.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issuable under this Plan shall be 60,285,113 Shares (subject to adjustment as set forth in this Plan). Shares issued under this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(including where the Award is settled in cash), the Shares with respect to such Award shall, to the extent of any such forfeiture, cancellation, exchange, surrender, termination or expiration, again be available for Awards under this Plan. Shares that are exchanged by a Participant or withheld by the Company as full or partial payment in connection with the exercise of any Option under this Plan or the payment of any purchase price with respect to any other Award under this Plan, as well as any Shares exchanged by a Participant or withheld by the Company or any Subsidiary to satisfy the tax withholding obligations related to any Award under this Plan, shall not be available for subsequent Awards under this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ind w:left="1300" w:hanging="644"/>
        <w:spacing w:after="0" w:line="25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under this Plan (other than such Awards representing a maximum of five percent (5%) of the Shares reserved for issuance under this Plan pursuant to Section 4(a)(i) hereof, subject to adjustment as set forth in this Plan) shall be granted subject to a minimum vesting period of at least twelve (12) months, such that no such Awards shall vest prior to the first anniversary of the applicable Grant Date. Notwithstanding the foregoing, the Board may accelerate the vesting of Awards prior to the first anniversary of the applicable Grant Date due to the Participant’s termination of employment, or upon a divestiture, reduction in force or sale or disposition of a subsidiary or division or any other similar event, in each case as determined by the Board.</w:t>
      </w:r>
    </w:p>
    <w:p>
      <w:pPr>
        <w:spacing w:after="0" w:line="187"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Disinterested Shareholder Approval is obtained, the aggregate number of Shares which may be issued to any one Participant, under this Plan alone or when combined with all other Security-Based Compensation Arrangement of the Company, in any twelve (12) month period shall not exceed five percent (5%) percent of the issued and outstanding Shares, calculated as of the Grant Date;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Section 4, unless Disinterested Shareholder Approval is obtained, the number of the Shares: i) issued to Insiders, within any one-year period, and ii) issuable to Insiders, at any time, under this Plan, or when combined with all of the Company’s other Security-Based Compensation Arrangements, cannot exceed ten percent (10%) of the issued and outstanding Shares, respectively.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AWARDS. For purposes of this Section 4, if an Award is denominated in Shares, the number of Shares covered by such Award, or to which such Award relates, shall be counted on the Grant Date of such Award against the aggregate number of Shares available for granting Awards under this Plan. For purposes of this Section 4(b) any Awards subject to Performance Criteria shall be counted as if the applicable Performance Criteria were achieved at the maximum level.</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If the number of outstanding Shares is increased or decreased as a result of any stock dividend, stock split, combination or exchange of shares, merger, amalgamation, arrangement, consolidation, reclassification, spin-off or other distribution (other than normal cash dividends) of the Company’s assets to shareholders, or any other change in the capital of the Company affecting the Shares, the Board will make appropriate proportionate adjustments, if any, in accordance with the terms of this Plan, the policies of the TSX or the Nasdaq Stock Market, and applicable laws, to the number and price (or other basis upon which an Award is measured) of Restricted Share Units, Performance Share Units, Deferred Share Units and/or Options credited to a Participant. Any additional Awards credited to a Participant in lieu of dividends declared by the Company based on Awards held by the Participant will be included in calculating the limits enumerated in Section 4(a) of this Plan. If such additional Awards result in the Company breaching any of the limits in Section 4(a) of this Plan, the Company shall settle such Awards in cash on the basis of the difference between the price the Participant is required to pay to exercise the Award, if any, and the Fair Market Value. Such cash settlement shall only be to the extent that the additional Awards granted in lieu of dividends declared by the Company do not breach the limits enumerated in Section 4(a). Any determinations by the Board as to appropriate adjustments, if any, shall be made in its sole discretion and all such determinations and adjustments shall be conclusive and binding for all purposes under this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PLAN. From and after the Effective Date, the Former Plan shall be cancelled and deemed to be cancelled, and all awards granted thereunder shall be governed and deemed to be governed by the provisions of this Plan as existing Awards under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AWARDS</w:t>
      </w:r>
    </w:p>
    <w:p>
      <w:pPr>
        <w:spacing w:after="0" w:line="22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prescribe, the Board may, from time to time, grant Awards of Restricted Share Units to Eligible Persons. Restricted Share Units granted to a Participant shall be credited, as of the Grant Date, to the Participant’s Account. The number of Restricted Share Units to be credited to each Participant shall be determined by the Board in its sole discretion in accordance with this Plan. Each Restricted Share Unit shall, contingent upon the lapse of any restrictions, represent one (1) Share. The number of Restricted Share Units granted pursuant to an Award and the Restriction Period in respect of such Restricted Share Units shall be specified in the applicable Award Agreement. The form of Restricted Share Unit Award Agreement is attached hereto as Schedule “A”. The Company reserves the right to use such other form of Restricted Share Unit Award Agreement as the Company may determine in its sole discretion, which Award Agreement may contain terms than are different from those set forth in this Section 5(a).</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Restricted Share Units shall be subject to such restrictions as the Board, in its sole discretion, may establish in the applicable Award Agreement, which restrictions may lapse separately or in combination at such time or times and on such terms, conditions and satisfaction of objectives as the Board may, in its discretion, determine at the time an Award is granted.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All Restricted Share Units will vest and become payable by the issuance of Shares at the end of the Restriction Period if all applicable restrictions have lapsed, as such restrictions may be specified in the Award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In the event a Participant that was granted Restricted Share Units ceases to be an Eligible Person during the 18-month period following a Change of Control due to the Company or a Subsidiary terminating the Participant’s service without cause, or pursuant to a Constructive Dismissal, all restrictions upon any Restricted Share Units held by such Participant shall lapse immediately and all such Restricted Share Units shall become fully vested in the Participant and will accrue to the Participant in accordance with Section 5(a)(ix) hereof, without any pro-ration.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left="644" w:hanging="644"/>
        <w:spacing w:after="0" w:line="261"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Other than as may be set forth in the applicable Award Agreement, upon the death of a Participant, all restrictions upon any Restricted Share Units granted to such Participant prior to the Participant’s death that are outstanding as of the date of such death shall lapse immediately and all such Restricted Share Units shall become fully vested in the Participant or his or her estate, as the case may be, and will accrue to the Participant’s estate in accordance with Section 5(a)(ix) hereof.</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SERVICE.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(i) employment is terminated by the Company or a Subsidiary for cause or (ii) consulting contract is terminated as a result of the Consultant’s breach, all Restricted Share Units granted to the Participant under this Plan that are outstanding as of the Termination Date, whether vested or unvested, will immediately terminate without payment, be forfeited and cancelled and shall be of no further force or effect as of the Termination Date.</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service is terminated by the Participant’s voluntary termination that is not a Retirement, all Restricted Share Units granted to the Participant under this Plan that are outstanding and unvested as of the Termination Date will immediately terminate without payment, be forfeited and cancelled and shall be of no further force or effect as of the Termination Date.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consulting contract, as applicable, is terminated by the Company or a Subsidiary without cause or due to Retirement by the Participant, all Restricted Share Units granted to the Participant under this Plan will continue to vest in accordance with the terms of such Restricted Share Units. Any Restricted Share Units granted to such Participant which, prior to the Participant’s termination without cause or Retirement, had vested pursuant to the terms of the applicable Award Agreement will accrue to the Participant in accordance with Section 5(a) (ix) hereof.</w:t>
      </w:r>
    </w:p>
    <w:p>
      <w:pPr>
        <w:spacing w:after="0" w:line="187"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a Participant’s employment with the Company or a Subsidiary, or upon termination of a Consultant’s contract, the Participant’s eligibility to receive further grants of Awards of Restricted Share Units under this Plan shall cease as of the Termination Date.</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1" w:name="page62"/>
    <w:bookmarkEnd w:id="61"/>
    <w:p>
      <w:pPr>
        <w:jc w:val="both"/>
        <w:ind w:left="644" w:hanging="644"/>
        <w:spacing w:after="0" w:line="254"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Where, in the case of Key Employees or Consultants, a Participant becomes afflicted by a Disability, all Restricted Share Units granted to the Participant under this Plan will continue to vest in accordance with the terms of such Restricted Share Units, provided, however, that no Restricted Share Units may be redeemed during a leave of absence. Where, in the case of Key Employees or Consultants, a Participant’s employment or consulting contract is terminated due to Disability, all restrictions upon any Restricted Share Units granted to the Participant under this Plan that have not vested shall lapse immediately and all such Restricted Share Units shall become fully vested in the Participant and accrue to the Participant in accordance with Section 5(a)(ix) hereof. Any Restricted Share Units granted to such Participant which, prior to the Participant’s termination due to Disability, had vested pursuant to terms of the applicable Award Agreement will accrue to the Participant in accordance with Section 5(a)(ix) hereof.</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DIRECTORSHIP. Where, in the case of Directors, a Participant ceases to be a Director for any reason other than a voluntary resignation or for cause, all restrictions upon any Restricted Share Units granted to the Participant under this Plan that have not yet vested shall, unless the applicable Award Agreement provides otherwise, lapse immediately and all such Restricted Share Units shall become fully vested in the Participant and accrue to the Participant in accordance with Section 5(a)(ix) hereof. and subject to the provisions below, immediately terminate without payment. Any Restricted Share Units granted to such Participant which, prior to the Cessation Date for any reason, had vested pursuant to the terms of the applicable Award Agreement will accrue to the Participant in accordance with Section 5(a)(ix) hereof.</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AWARD. As soon as practicable after each Vesting Date of an Award of Restricted Share Units and in any event within 10 Business Days following the Vesting Date, the Restricted Share Units shall be settled in either cash or Shares, as the Company may so determine, unless otherwise provided in the Award Agreement, as follows:</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to the Participant, or if Section 5(a)(v) applies, to the Participant’s estate, a number of Shares equal to the number of Restricted Share Units credited to the Participant’s Account that become payable on the Vesting Date; or</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in an amount equal to the Fair Market Value multiplied by the quantity of Restricted Share Units credited to a Participant’s Account, and certified funds shall be paid for the Restricted Stock Units, net of applicable withholdings.</w:t>
      </w:r>
    </w:p>
    <w:p>
      <w:pPr>
        <w:spacing w:after="0" w:line="162"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Where the Vesting Date of a Restricted Share Unit occurs during a Blackout Period, the settlement period for such Restricted Share Unit shall (to the extent not resulting in accelerated taxation or tax penalties under Section 409A of the Code) be extended to the date that is 10 Business Days following the end of such Blackout Period.</w:t>
      </w:r>
    </w:p>
    <w:p>
      <w:pPr>
        <w:spacing w:after="0" w:line="176" w:lineRule="exact"/>
        <w:rPr>
          <w:sz w:val="20"/>
          <w:szCs w:val="20"/>
          <w:color w:val="auto"/>
        </w:rPr>
      </w:pPr>
    </w:p>
    <w:p>
      <w:pPr>
        <w:jc w:val="both"/>
        <w:ind w:left="644" w:right="20"/>
        <w:spacing w:after="0" w:line="282" w:lineRule="auto"/>
        <w:rPr>
          <w:sz w:val="20"/>
          <w:szCs w:val="20"/>
          <w:color w:val="auto"/>
        </w:rPr>
      </w:pPr>
      <w:r>
        <w:rPr>
          <w:rFonts w:ascii="Times New Roman" w:cs="Times New Roman" w:eastAsia="Times New Roman" w:hAnsi="Times New Roman"/>
          <w:sz w:val="18"/>
          <w:szCs w:val="18"/>
          <w:color w:val="auto"/>
        </w:rPr>
        <w:t>As of the Vesting Date, the Restricted Share Units in respect of which such Shares are issued shall be cancelled and no further payments shall be made to the Participant under this Plan in relation to such Restricted Share Units.</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2" w:name="page63"/>
    <w:bookmarkEnd w:id="62"/>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prescribe, the Board may, from time to time, grant Awards of Performance Share Units to Eligible Persons. Performance Share Units granted to a Participant shall be credited, as of the Grant Date, to the Participant’s Account. The number of Performance Share Units to be credited to each Participant shall be determined by the Board, in its sole discretion, in accordance with this Plan. Each Performance Share Unit shall, contingent upon the attainment of the Performance Criteria within the Performance Cycle, represent one (1) Share, unless otherwise specified in the applicable Award Agreement. The number of Performance Share Units granted pursuant to an Award, the Performance Criteria which must be satisfied in order for the Performance Share Units to vest and the Performance Cycle in respect of such Performance Share Units shall be specified in the applicable Award Agreement. The form of Performance Share Unit Award Agreement is attached hereto as Schedule “B”. The Company reserves the right to use such other form of Performance Share Unit Award Agreement as the Company may determine in its sole discretion, which Award Agreement may contain terms than are different from those set forth in this Section 5(b).</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The Board will select, settle and determine the Performance Criteria (including without limitation the attainment thereof), for purposes of the vesting of the Performance Share Units, in its sole discretion. An Award Agreement may provide the Board with the right, during a Performance Cycle or after it has ended, to revise the Performance Criteria and the Award amounts if unforeseen events (including, without limitation, changes in capitalization, an equity restructuring, an acquisition or a divestiture) occur which have a substantial effect on the financial results and which in the sole judgment of the Board make the application of the original Performance Criteria unfair or inappropriate unless a revision is made. Notices will be provided by the Company to applicable regulatory authorities or stock exchanges as may be required with respect to the foregoing.</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All Performance Share Units will vest and become payable to the extent that the Performance Criteria and other vesting criteria set forth in the Award Agreement are satisfied for the Performance Cycle, at a time no earlier than the Restriction Period, the determination of the satisfaction of which shall be made by the Board on the Determination Date.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71" w:lineRule="auto"/>
        <w:tabs>
          <w:tab w:leader="none" w:pos="13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In the event of a Change of Control, all Performance Criteria applicable to any outstanding Performance Share Units and any other vesting criteria will be deemed achieved at actual performance levels (including any stretch criteria above the target level where applicable) as of the date of the Change of Control as determined by the Board in good faith prior to the Change of Control as if the performance period ended as of the date of the Change of Control and such Performance Share Units shall remain outstanding and subject to vesting based solely on the Participant’s continued employment or service through the last day of the originally scheduled applicable performance period; provided that if the Participant ceases to be an Eligible Person during the 18-month period following a Change of Control due to the Company or a Subsidiary terminating the Participant’s service without cause, or pursuant to a Constructive Dismissal, all Performance Share Units that are outstanding as of the Termination Date shall become fully vested in such Participant and shall become payable to the Participant in accordance with Section 5(b)(viii) hereof, without any pro-ration.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left="644" w:hanging="644"/>
        <w:spacing w:after="0" w:line="256"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Other than as may be set forth in the applicable Award Agreement and below, upon the death of a Participant, all Performance Criteria applicable to such Performance Share Units and any other vesting criteria will be deemed achieved at actual performance levels (including any stretch criteria above the target level where applicable) as of the date of the Participant’s death, as determined by the Board in good faith, all other terms and conditions will be deemed met, and such Performance Share Units shall become fully vested in such Participant or his or her estate, as the case may be, and shall become payable in accordance with Section 5(b)(viii) hereof, provided that the Performance Cycle for all such Performance Share Units shall be deemed to have ended on the date of the Participant’s death.</w:t>
      </w:r>
    </w:p>
    <w:p>
      <w:pPr>
        <w:spacing w:after="0" w:line="18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SERVICE.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(i) employment is terminated by the Company or a Subsidiary for cause or (ii) consulting contract is terminated as a result of the Consultant’s breach, all Performance Share Units granted to the Participant under this Plan, whether vested or unvested, will immediately terminate without payment, be forfeited and cancelled and shall be of no further force or effect as of the Termination Date.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service is terminated by the Participant’s voluntary termination that is not a Retirement, all Performance Share Units granted to the Participant under this Plan that are outstanding and unvested as of the Termination Date will immediately terminate without payment, be forfeited and cancelled and shall be of no further force or effect as of the Termination Date.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consulting contract, as applicable, is terminated by the Company or a Subsidiary without cause or due to Retirement, all Performance Criteria applicable to such Performance Share Units and any other vesting criteria will be deemed achieved at actual performance levels (including any stretch criteria above the target level where applicable), as determined by the Board in good faith, all other terms and conditions will be deemed met, and such Performance Share Units shall vest on a pro-rated basis in an amount equal to the product of (i) the total number of Performance Share Units that would vest based on actual performance and (ii) a fraction, the numerator of which is the number of days elapsed between the Grant Date and the Termination Date and the denominator of which is the total number of days in the performance period, and shall become payable to the Participant in accordance with Section 5(b)(viii) hereof, provided that the Performance Cycle for all such Performance Share Units shall be deemed to have ended on the Participant’s Termination Date.</w:t>
      </w:r>
    </w:p>
    <w:p>
      <w:pPr>
        <w:spacing w:after="0" w:line="194"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Key Employees, upon termination of a Participant’s employment with the Company or a Subsidiary, or upon termination of Consultants contract the Participant’s eligibility to receive further grants of Awards of Performance Share Units under this Plan shall cease as of the Termination Date.</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4" w:name="page65"/>
    <w:bookmarkEnd w:id="64"/>
    <w:p>
      <w:pPr>
        <w:jc w:val="both"/>
        <w:ind w:left="1300" w:hanging="644"/>
        <w:spacing w:after="0" w:line="253"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Where, in the case of Key Employees or Consultants, a Participant becomes afflicted by a Disability, all Performance Share Units granted to the Participant under this Plan will continue to vest in accordance with the terms of such Performance Share Units, provided, however, that no Performance Share Units may be redeemed during a leave of absence. Where, in the case of Key Employees or Consultants, a Participant’s employment or consulting contract is terminated due to Disability, all Performance Criteria applicable to such Performance Share Units and any other vesting criteria will be deemed achieved at actual performance levels (including any stretch criteria above the target level where applicable), as determined by the Board in good faith, all other terms and conditions will be deemed met, and such Performance Share Units shall become fully vested in such Participant and shall become payable to the Participant in accordance with Section 5(b)(viii) hereof, provided that the Performance Cycle for all such Performance Share Units shall be deemed to have ended on the date the Participant’s employment or consulting contract is terminated. Any Restricted Share Units granted to such Participant which, prior to the Participant’s termination due to Disability, had vested pursuant to terms of the applicable Award Agreement will accrue to the Participant in accordance with Section 5(a)(ix) hereof</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AWARD. Subject to the applicable Award Agreement, which in no case shall provide that such Performance Share Units expire in a period greater than 12 months from the Termination Date, payment to Participants in respect of vested Performance Share Units shall be made after the Determination Date for the applicable Award and in any case within ninety (90) days after the last day of the Performance Cycle to which such Award relates. Such payments shall be made entirely in Shares, unless otherwise provided for in the applicable Award Agreement. The Company shall issue to the Participant, or if Section 5(b)(v) applies, to the Participant’s estate, a number of Shares equal to the number of Performance Share Units that have vested. As of the Vesting Date, the Performance Share Units in respect of which such Shares are issued shall be cancelled and no further payments shall be made to the Participant under this Plan in relation to such Performance Share Units.</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SHARE UNITS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prescribe, the Board may, from time to time, grant Awards of Deferred Share Units to Directors. Directors become Participants effective as of the date he or she is first appointed or elected as a Director and cease to be Participants on the Cessation Date for any reason. Deferred Share Units granted to a Participant in accordance with Section 5(c) hereof shall be credited, as of the Grant Date, to the Participant’s Account. The form of Deferred Share Unit Award Agreement is attached hereto as Schedule “C”. The Company reserves the right to use such other form of Deferred Share Unit Award Agreement as the Company may determine in its sole discretion, which Award Agreement may contain terms than are different from those set forth in this Section 5(c).</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Each Director may elect to receive any part or all of his or her Fees and/or Awards, as applicable, in Deferred Share Units under this Plan. Elections by Participants regarding the amount of their Awards that they wish to receive in Deferred Share Units shall be made no later than December 31 of any given year with respect to Awards for the following year. Any Director who becomes a Participant during a fiscal year and wishes to receive an amount of his or her Awards for the remainder of that year in Deferred Share Units must make his or her election within 30 days of becoming a Director.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The number of Deferred Share Units to be credited to the Participant’s Account shall be calculated by dividing the amount of Fees selected by a Director in the applicable Election Form by the Fair Market Value on the Grant Date, or if more appropriate, another trading range that best represents the period for which the award was earned (or such other price as required under Exchange policies). If, as a result of the foregoing calculation, a Participant shall become entitled to a fractional Deferred Share Unit, the Participant shall only be credited with a full number of Deferred Share Units (rounded down) and no payment or other adjustment will be made with respect to the fractional Deferred Share Unit.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left="644" w:hanging="644"/>
        <w:spacing w:after="0" w:line="256"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AWARD. Each Participant shall be entitled to receive, after the effective date that the Participant ceases to be a Director for any reason or any earlier vesting period(s) as may be set forth in the applicable Award Agreement and following the end of the Restriction Period, by providing written notice of settlement to the Company setting out: (a) whether the Deferred Share Units will be settled in cash or Shares, and (b) if applicable, the particulars regarding the registration of the Shares issuable on settlement, and if no such notice is given, then on the first anniversary of the Cessation Date or any earlier period on which the Deferred Share Unit vested, as the case may be, at the sole discretion of the Participant, either:</w:t>
      </w:r>
    </w:p>
    <w:p>
      <w:pPr>
        <w:spacing w:after="0" w:line="187"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number of Shares equal to the number of Deferred Share Units credited to the Participant’s Account, such Shares to be issued from treasury of the Company; or</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in an amount equal to the Fair Market Value on the Cessation Date multiplied by the quantity of Deferred Share Units credited to a Participant’s Account, net of applicable withholdings.</w:t>
      </w:r>
    </w:p>
    <w:p>
      <w:pPr>
        <w:spacing w:after="0" w:line="162" w:lineRule="exact"/>
        <w:rPr>
          <w:sz w:val="20"/>
          <w:szCs w:val="20"/>
          <w:color w:val="auto"/>
        </w:rPr>
      </w:pPr>
    </w:p>
    <w:p>
      <w:pPr>
        <w:ind w:left="644"/>
        <w:spacing w:after="0" w:line="312" w:lineRule="auto"/>
        <w:rPr>
          <w:sz w:val="20"/>
          <w:szCs w:val="20"/>
          <w:color w:val="auto"/>
        </w:rPr>
      </w:pPr>
      <w:r>
        <w:rPr>
          <w:rFonts w:ascii="Times New Roman" w:cs="Times New Roman" w:eastAsia="Times New Roman" w:hAnsi="Times New Roman"/>
          <w:sz w:val="17"/>
          <w:szCs w:val="17"/>
          <w:color w:val="auto"/>
        </w:rPr>
        <w:t>For greater certainty, any vesting period as may be set forth in the applicable Award Agreement that is earlier than the date the Participant ceases to be a Director, must be no less than twelve (12) months following the date the Deferred Share Unit is granted to the Participant.</w:t>
      </w:r>
    </w:p>
    <w:p>
      <w:pPr>
        <w:spacing w:after="0" w:line="140" w:lineRule="exact"/>
        <w:rPr>
          <w:sz w:val="20"/>
          <w:szCs w:val="20"/>
          <w:color w:val="auto"/>
        </w:rPr>
      </w:pPr>
    </w:p>
    <w:p>
      <w:pPr>
        <w:jc w:val="both"/>
        <w:ind w:left="644" w:hanging="644"/>
        <w:spacing w:after="0" w:line="258"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 In the event that the value of a Deferred Share Unit would be determined with reference to a period commencing at a fiscal quarter-end of the Company and ending prior to the public disclosure of interim financial statements for the quarter (or annual financial statements in the case of the fourth quarter), the cash payment of the value of the Units will be made to the Participant with reference to the five (5) Trading Days immediately following the public disclosure of the interim financial statements for that quarter (or annual financial statements in the case of the fourth quarter).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Upon death of a Participant, the Participant’s estate shall be entitled to receive, within 120 days after the Participant’s death and at the sole discretion of the Board, a cash payment or Shares that would have otherwise been payable in accordance with Section 5(c)(iv) hereof to the Participant upon such Participant ceasing to be a Director.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DIRECTORSHIP. Where a Participant ceases to be a Director for any reason, any Deferred Share Unit held by such Participant at such time, to the extent that it shall not otherwise have become vested, shall automatically become fully and immediately vested, without regard to any otherwise applicable vesting requirement, and shall be settled in accordance with Section 5(c)(iv) hereof.</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66" w:name="page67"/>
    <w:bookmarkEnd w:id="66"/>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determine, the Board may, from time to time, in its discretion, grant Awards of Options to Eligible Persons. Options granted to a Participant shall be credited, as of the Grant Date, to the Participant’s Account. The number of Options to be credited to each Participant shall be determined by the Board in its sole discretion in accordance with this Plan. The form Option Award Agreement is attached hereto as Schedule “D”. The Company reserves the right to use such other form of Option Award Agreement as the Company may determine in its sole discretion, which Award Agreement may contain terms than are different from those set forth in this Section 5(d).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of the Options shall be determined by the Board at the time the Option is granted and shall not be lower than the Fair Market Value on the Grant Date. The Board shall not reprice any Options previously granted under this Plan, except in accordance with the rules and policies of the TSX and the Nasdaq Stock Market. For greater certainty, the Company will be required to obtain Disinterested Shareholder Approval in respect of any reduction in the exercise price of Options, or the extension of the term of an Option, granted to any Participant if the Participant is an Insider at the time of the proposed reduction or extension, if and to the extent required by the rules and policies of the TSX or the Nasdaq Stock Market.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CONDITIONS OF EXERCISE. The Board shall determine the time or times at which an Option may be exercised in whole or in part, provided that the term of any Option granted under this Plan shall not exceed ten years. The Board shall also determine the performance or other conditions, if any, that must be satisfied before all or part of an Option may be exercised.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GRANT. All Options shall be evidenced by a written Award Agreement. The Award Agreement shall reflect the Board’s determinations regarding the exercise price, time and conditions of exercise (including vesting provisions) and such additional provisions as may be specified by the Board.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exercise of any Option will be contingent upon receipt by the Company of a written notice of exercise in the manner and in the form set forth in the applicable Award Agreement, which written notice shall specify the number of Shares with respect to which the Option is being exercised, and which shall be accompanied by a cash payment, certified cheque or bank draft for the full purchase price of such Shares with respect to which the Option is exercised. Certificates for such Shares shall be issued and delivered to the Participant within a reasonable time following the receipt of such notice and payment. Neither the Participants nor their legal representatives, legatees or distributees will be, or will be deemed to be, a holder of any Shares unless and until the certificates for the Shares issuable pursuant to Options under this Plan are issued to such Participants under the terms of this Plan. Where the expiry date for an Option occurs during a Blackout Period, the expiry date for such Option shall (to the extent not resulting in accelerated taxation or tax penalties under Section 409A of the Code) be extended to the date that is 10 Business Days following the end of such Blackout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left="644" w:hanging="644"/>
        <w:spacing w:after="0" w:line="255" w:lineRule="auto"/>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In the event a Participant that was granted Options ceases to be an Eligible Person during the 18-month period following a Change of Control due to the Company or a Subsidiary terminating the Participant’s service without cause, or pursuant to a Constructive dismissal, each outstanding Option issued to such Participant, to the extent that it shall not otherwise have become vested and exercisable, and subject to the applicable Award Agreement, shall automatically become fully and immediately vested and exercisable, without regard to any otherwise applicable vesting requirement, and may be exercised or surrendered in accordance with this Section 5(d) at any time during the period that terminates on the earlier of the relevant Option’s expiry date and the first anniversary of the date such Participant ceased to be an Eligible Person.</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Where a Participant shall die, each outstanding Option held by such Participant at the date of death, to the extent that it shall not otherwise have become vested and exercisable, shall automatically become fully and immediately vested and exercisable, without regard to any otherwise applicable vesting requirement, and may be exercised or surrendered in accordance with this Section 5(d) at any time during the period that terminates on the earlier of the relevant Option’s expiry date and the first anniversary of the date of death of such Participant.</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SERVICE.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(i) employment is terminated by the Company or a Subsidiary for cause or (ii) consulting contract is terminated as a result of the Consultant’s breach, no Option held by such Participant shall be exercisable from the Termination Date.</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service is terminated by the Participant’s voluntary termination that is not a Retirement, all Options granted to the Participant under this Plan that are outstanding and unvested as of the date of such termination will immediately terminate without payment, be forfeited and cancelled and shall be of no further force or effect as of the Termination Date and all Options granted under this Plan that were outstanding and unvested as of the Termination Date may be exercised or surrendered in accordance with this Section 5(d) at any time during the period that terminates on the earlier of the relevant Option’s expiry date and the first anniversary of such Termination Date.</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8" w:name="page69"/>
    <w:bookmarkEnd w:id="68"/>
    <w:p>
      <w:pPr>
        <w:jc w:val="both"/>
        <w:ind w:left="1304" w:hanging="656"/>
        <w:spacing w:after="0" w:line="256"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consulting contract, as applicable, is terminated by the Company or a Subsidiary without cause or due to Retirement, subject to the applicable Award Agreement, any Option held by such Participant at such time, to the extent that it shall not otherwise have become vested and exercisable, shall automatically become fully and immediately vested and exercisable, without regard to any otherwise applicable vesting requirement, and may be exercised or surrendered in accordance with this Section 5(d) at any time during the period that terminates on the earlier of the relevant Option’s expiry date and the first anniversary of such Termination Date.</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Where, in the case of Key Employees or Consultants, a Participant becomes afflicted by a Disability, all Options granted to the Participant under this Plan will continue to vest in accordance with the terms of such Options. Where, in the case of Key Employees or Consultants, a Participant’s employment or consulting contract is terminated due to Disability, subject to the applicable Award Agreement, each outstanding Option issued to such Participant, to the extent that it shall not otherwise have become vested and exercisable, shall automatically become fully and immediately vested and exercisable, without regard to any otherwise applicable vesting requirement, and may be exercised or surrendered in accordance with this Section 5(d) at any time during the period that terminates on the earlier of the relevant Option’s expiry date and the first anniversary of such Termination Date.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DIRECTORSHIP. Where, in the case of Directors, a Participant ceases to be a Director for any reason other than a voluntary resignation or for cause, any Option held by such Participant at such time, to the extent that it shall not otherwise have become vested and exercisable, shall automatically become fully and immediately vested and exercisable, without regard to any otherwise applicable vesting requirement, and may be exercised or surrendered in accordance with this Section 5(d) at any time during for a period of 12 months after the Cessation Date or prior to the expiration of the Option, whichever is sooner.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EXERCISE. In lieu of the exercise price of each Share underlying an Option being paid in cash, the Option may be exercised, at the discretion of the Option holder and only with the written permission of the Board and as permitted by the policies of the TSX and the Nasdaq Stock Market, by a “</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whereby the Option holder will receive only the number of Shares underlying the Option that is equal to the quotient obtained by dividing:</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Options being exercised multiplied by the difference between the Fair Market Value of the underlying Shares and the exercise price of the subject Options by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underlying Shares.</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9" w:name="page70"/>
    <w:bookmarkEnd w:id="69"/>
    <w:p>
      <w:pPr>
        <w:jc w:val="both"/>
        <w:ind w:left="1300" w:hanging="644"/>
        <w:spacing w:after="0" w:line="261"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In lieu of the exercise price of each Share underlying an Option being paid in cash, the Option may be exercised, except Options granted to persons performing Investor Relations Activities, at the discretion of the Option holder and only with the written permission of the Board and as permitted by the policies of the TSX and the Nasdaq Stock Market, by a “</w:t>
      </w:r>
      <w:r>
        <w:rPr>
          <w:rFonts w:ascii="Times New Roman" w:cs="Times New Roman" w:eastAsia="Times New Roman" w:hAnsi="Times New Roman"/>
          <w:sz w:val="18"/>
          <w:szCs w:val="18"/>
          <w:b w:val="1"/>
          <w:bCs w:val="1"/>
          <w:color w:val="auto"/>
        </w:rPr>
        <w:t>Cashless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whereby the Option holder will may elect for a broker-assisted cashless exercise and shall receive:</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cash proceeds realized upon the sale in the capital markets of the Shares underlying the Option (or portion thereof being exercised) by a securities dealer designated by the Company, less the aggregate exercise price, any applicable withholding taxes, and any transfer costs charged by the securities dealer to sell the Shares;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number of Shares that is equal to the number of Shares underlying the Option (or portion thereof being exercised) minus the number of Shares sold in the capital markets by a securities dealer designated by the Company as required to realize cash proceeds equal to the aggregate exercise price, any applicable withholding taxes and any transfer costs charged by the securities dealer to sell the Shares; or</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Section 5(d)(xii)(A) and 5(d)(xii)(B).</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OPTION FOR CASH. In lieu of the exercise price of each Share underlying an Option being paid in cash, an Option holder may elect to surrender for cancellation, unexercised, any vested Option that is otherwise then exercisable and, in consideration for such surrender for cancellation, to receive a cash payment in an amount equal to the positive difference, if any, obtained by subtracting the aggregate Exercise Price of the surrendered Option from the then current Fair Market Value of the Shares subject to the surrendered Option, less applicable withholding taxes. The Board has the sole discretion to consent to or disapprove of the election of the Option holder to surrender any vested Option pursuant to this Section 5(d)(xiii). If the Board disapproves of the election, the Option holder may</w:t>
      </w:r>
    </w:p>
    <w:p>
      <w:pPr>
        <w:spacing w:after="0" w:line="5"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exercise the Option under this Section 5(d), or (ii) retract the request to surrender such Option and retain the Option. If the Board consents to the election, the Company shall make the cash payment to the Option holder in respect of the surrendered Option within 30 days. Any cash payment in accordance with this Section 5(d)(xiii) shall be payable in United States dollars, unless otherwise agreed by the Board and the Option holder.</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TERMS APPLICABLE TO AWARDS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EVENTS. The Board will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policies, fraud, breach of noncompetition, confidentiality or other restrictive covenants that may apply to the Participant or other conduct by the Participant that is detrimental to the business or reputation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left="644" w:hanging="644"/>
        <w:spacing w:after="0" w:line="256"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SEPARATELY OR TOGETHER. Without limiting Section (5)(e), Awards may, in the discretion of the Board, be granted either alone or in addition to, in tandem with, or in substitution for any other Award or any award granted under any other Security-Based Compensation Arrangement of the Company or any Subsidiary. Awards granted in addition to or in tandem with other Awards, or in addition to or in tandem with awards granted under any other Security-Based Compensation Arrangement of the Company or any Subsidiary, may be granted either at the same time as or at a different time from the grant of such other Awards or awards.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NON-TRANSFERABILITY OF AWARDS.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transferrable, except where required by law or in certain estate proceedings described herein.</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RESTRICTIONS UPON SECURITIES SUBJECT TO AWARDS. The Board may provide that the Shares issued under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(A) restrictions under an insider trading policy or pursuant to applicable law; (B) restrictions designed to delay and/or coordinate the timing and manner of sales by Participant and holders of other Security-Based Compensation Arrangements; (C) restrictions as to the use of a specified brokerage firm for such resales or other transfers; and (D) provisions requiring Shares to be sold on the open market or to the Company in order to satisfy tax withholding or other obligations.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All Shares delivered under this Plan pursuant to any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TO PLAN. In the event that an Award is granted which does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At the discretion of the Board, each RSU, DSU and PSU (representing one Share) may be credited with cash and stock dividends paid by the Company in respect of one Share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Dividend Equivalents will be deemed re-invested in additional RSUs, DSUs, or PSUs, as the case may be, based on the Fair Market Value of a Share on the applicable dividend payment date and rounded down to the nearest whole share.</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71" w:name="page72"/>
    <w:bookmarkEnd w:id="71"/>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TERMS APPLICABLE TO PERFORMANCE-BASED AWARDS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EVALUATION; ADJUSTMENT OF GOALS. At the time that a Performance-Based Award is first issued, the Board, in the Award Agreement or in another written document, may specify whether performance will be evaluated including or excluding the effect of any of the following events that occur during the Performance Cycle or Restriction Period, as the case may be: (A) 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 (F) the impact of any mergers, acquisitions, spin-offs or other divestitures; and (G) foreign exchange gains and losses.</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PERFORMANCE-BASED AWARDS. The Board shall have the sole discretion to adjust the determinations of the degree of attainment of the pre-established Performance Criteria or restrictions, as the case may be, as may be set out in the applicable Award Agreement governing the relevant Performance-Based Award. Notwithstanding any provision herein to the contrary, the Board may not make any adjustment or take any other action with respect to any Performance-Based Award that will increase the amount payable under any such Award. The Board shall retain the sole discretion to adjust Performance-Based Awards downward or to otherwise reduce the amount payable with respect to any Performance-Based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AMENDMENT AND TERMINATION</w:t>
      </w:r>
    </w:p>
    <w:p>
      <w:pPr>
        <w:spacing w:after="0" w:line="229"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AND TERMINATION OF THIS PLAN AND AWARDS. The Board at any time, and from time to time, may amend or suspend any provision of an Award or this Plan, or terminate this Plan, subject to those provisions of applicable laws (including, without limitation, the rules, regulations and policies of the TSX or Nasdaq Stock Market), if any, that require the approval of security holders or any governmental or regulatory body regardless of whether any such amendment or suspension is material, fundamental or otherwise, and notwithstanding any rule of common law or equity to the contrary.</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WITHOUT SECURITY HOLDER APPROVAL. Without limiting the generality of the foregoing, the Board may make the following types of amendments to this Plan or any Awards without seeking security holder approval: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a “housekeeping” or administrative nature, including any amendment for the purpose of curing any ambiguity, error or omission in this Plan, or to correct or supplement any provision of this Plan that is inconsistent with any other provision of this Plan;</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necessary to comply with the provisions of applicable law (including, without limitation, the rules, regulations and policies of the TSX or the Nasdaq Stock Market);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necessary for Awards to qualify for favourable treatment under applicable tax laws;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vesting provisions of this Plan or any Award;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130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include or modify a cashless exercise feature, payable in cash or Shares, which provides for a full deduction of the number of underlying Shares from the Plan maximum;</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termination or early termination provisions of this Plan or any Award, whether or not such Award is held by an Insider, provided such amendment does not entail an extension beyond the original expiry date of the Award;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necessary to suspend or terminate this Plan.</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REQUIRING SECURITY HOLDER APPROVAL. Security holder approval will be required for the following types of amendments: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increase the maximum number of Shares issuable under this Plan, other than pursuant to Section 4(c);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this Plan that increases the length of the period after a Blackout Period during which Options may be exercised;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would result in the Exercise Price for any Option granted under this Plan being lower than the Fair Market Value at the Grant Date of the Option;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remove, exceed or increase any limit on Awards to non-employee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remove or to exceed the Insider participation limit set out in Section 4(a)(iv);</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reduces the Exercise Price of an Option or permits the cancellation and reissuance of an Option or other entitlement, in each case, other than pursuant to Section 4(c);</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extending the term of an Option beyond the original expiry date, except as provided in Section 5(d)(v);</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amendment provisions;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would allow for the transfer or assignment of Awards under this Plan, other than for normal estate settlement purposes;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required to be approved by security holders under applicable law (including the rules, regulations and policies of the TSX or the Nasdaq Stock Market).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RIGHTS. Except as expressly set forth herein or as required pursuant to applicable laws, no action of the Board or security holders may materially adversely alter or impair the rights of a Participant under any Award previously granted to the Participant unless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requests the consent of the Participant and (b) the Participant consents in writing.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SECTION 7. GENERAL PROVISIONS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TO AWARDS. No Director, Key Employee, Consultant or other Person shall have any claim to be granted any Award under this Plan, or, having been selected to receive an Award under this Plan, to be selected to receive a future Award, and further there is no obligation for uniformity of treatment of Directors, Key Employees, Consultant or holders or beneficiaries of Awards under this Plan. The terms and conditions of Awards need not be the same with respect to each recipient.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The Company shall be authorized to withhold from any Award granted or any payment due or transfer made under any Award or under this Plan the amount (in cash, Shares, other securities, or other Awards) of withholding taxes due in respect of an Award, its exercise, or any payment or transfer under such Award or under this Plan and to take such other action as may be necessary in the opinion of the Company to satisfy statutory withholding obligations for the payment of such taxes. Without in any way limiting the generality of the foregoing, whenever cash is to be paid on the redemption, exercise or vesting of an Award, the Company shall have the right to deduct from all cash payments made to a Participant any taxes required by law to be withheld with respect to such payments. Whenever Shares are to be delivered on the redemption, exercise or vesting of an Award, the Company shall have the right to deduct from any other amounts payable to the Participant any taxes required by law to be withheld with respect to such delivery of Shares, or if any payment due to the Participant is not sufficient to satisfy the withholding obligation, to require the Participant to remit to the Company in cash an amount sufficient to satisfy any taxes required by law to be withheld. At the sole discretion of the Board, a Participant may be permitted to satisfy the foregoing requirement by:</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have the Company withhold from delivery Shares having a value equal to the amount of tax required to be withheld,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(on a form prescribed by the Company) an irrevocable direction to a securities broker approved by the Company to sell all or a portion of the Shares and to deliver to the Company from the sales proceeds an amount sufficient to pay the required withholding taxes.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 ON OTHER SECURITY-BASED COMPENSATION ARRANGEMENTS. Nothing contained in this Plan shall prevent the Company or a Subsidiary from adopting or continuing in effect other Security-Based Compensation Arrangements, and such arrangements may be either generally applicable or applicable only in specific cases.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EMPLOYMENT. The grant of an Award shall not constitute an employment contract nor be construed as giving a Participant the right to be retained in the employ of the Company. Further, the Company may at any time dismiss a Participant from employment, free from any liability, or any claim under this Plan, unless otherwise expressly provided in this Plan or in any Award Agreement.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AS SHAREHOLDER. Neither the Participant nor any representatives of a Participant’s estate shall have any rights whatsoever as Shareholders in respect of any Shares covered by such Participant’s Award, until the date of issuance of a share certificate to such Participant or representatives of a Participant’s estate for such Shares.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Plan and all of the rights and obligations arising herefrom shall be interpreted and applied in accordance with the laws of the State of Delaware, without giving effect to the principles of conflicts of law of such state.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both"/>
        <w:ind w:left="660" w:hanging="652"/>
        <w:spacing w:after="0" w:line="25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provision of this Plan or any Award is or becomes or is deemed to be invalid, illegal, or unenforceable in any jurisdiction, or as to any Person or Award, or would disqualify this Plan or any Award under any law deemed applicable by the Board, such provision shall be construed or deemed amended to conform to applicable laws, or if it cannot be so construed or deemed amended without, in the determination of the Board, materially altering the intent of this Plan or the Award, such provision shall be stricken as to such jurisdiction, Person, or Award, and the remainder of this Plan and any such Award shall remain in full force and effect.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Notwithstanding any other provisions in this Plan, any Award, including any Shares, cash or other property subject to or purchased or received pursuant to an Award, shall be subject to any recovery, recoupment, clawback and/or other forfeiture policy maintained by the Company from time to time or otherwise required by applicable law.</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409A OF THE CODE. This Plan as well as payments and benefits under this Plan are intended to be exempt from, or to the extent subject thereto, to comply with Section 409A of the Code, and, accordingly, to the maximum extent permitted, this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this Plan and no payment shall be due to the Participant under this Plan or any Award until the Participant would be considered to have incurred a “separation from service” from the Company and its Affiliates within the meaning of Section 409A of the Code. Any payments described in this Plan that are due within the “short term deferral period” as defined in Section 409A of the Code shall not be treated as deferred compensation unless applicable law requires otherwise. Notwithstanding anything to the contrary in this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upon the Participant’s death, if earlier). Each amount to be paid or benefit to be provided under this Plan shall be construed as a separate identified payment for purposes of Section 409A of the Code. The Board shall have the sole authority to make any accelerated distributions permissible under Treas. Reg. Section 1.409A-3(j)(4) to Participants with respect to any deferred amounts,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distributions meets the requirements of Treas. Reg. Section 1.409A-3(j)(4).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TRUST OR FUND CREATED. Neither this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creditor of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No fractional Shares shall be issued or delivered pursuant to this Plan or any Award, and the Board shall determine whether cash, or other securities shall be paid or transferred in lieu of any fractional Shares, or whether such fractional Shares or any rights thereto shall be cancelled, terminated, or otherwise eliminated.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Headings are given to the Sections and subsections of this Plan solely as a convenience to facilitate reference. Such headings shall not be deemed in any way material or relevant to the construction or interpretation of this Plan or any provision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OR WARRANTY. The Company makes no representation or warranty as to the value of any Award granted pursuant to this Plan or as to the future value of any Shares issued pursuant to any Award.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REPRESENTATIONS OR COVENANTS WITH RESPECT TO TAX QUALIFICATION. Although the Company may, in its discretion, endeavor to (i) qualify an Award for favourable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this Plan.</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AWARD AGREEMENT. In the event of any inconsistency or conflict between the provisions of this Plan and an Award Agreement, the provisions of this Plan shall govern for all purposes.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The granting of Awards and the issuance of Shares under this Plan shall be subject to all applicable laws, rules, and regulations, and to such approvals by any governmental agencies or stock exchanges on which the Company is listed as may be required. The Company shall have no obligation to issue or deliver evidence of title for Shares issued under this Plan prior to:</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approvals from governmental agencies that the Company determines are necessary or advisable;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registration or other qualification of the Shares under any applicable national or foreign law or ruling of any governmental body that the Company determines to be necessary or advisable or at a time when any such registration or qualification is not current, has been suspended or otherwise has ceased to be effective.</w:t>
      </w:r>
    </w:p>
    <w:p>
      <w:pPr>
        <w:spacing w:after="0" w:line="176"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sz w:val="20"/>
          <w:szCs w:val="20"/>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 MANAGEMENT PORTAL. Any Awards granted or issued under this Plan shall be permitted to be exercisable through a platform, system, portal or such other program that permits the exercise of Awards that the Company may adopt from time to time, to the extent that such a platform, system, portal or program is made available by the Company to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EFFECTIVE DATE OF THIS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became effective as of April 1, 2026, which was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that the Company became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TERM OF THIS PLAN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Plan shall continue in full force and effect unless terminated as provided in Section 6 hereof, or if any approvals required by the TSX or Nasdaq Stock Market are not obtained on the terms and conditions required thereby.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Keel Infrastructure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awarded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to the Participant named below pursuant to the Company’s Long-Term Performance Incentive Plan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that on</w:t>
      </w:r>
    </w:p>
    <w:p>
      <w:pPr>
        <w:spacing w:after="0" w:line="221" w:lineRule="exact"/>
        <w:rPr>
          <w:sz w:val="20"/>
          <w:szCs w:val="20"/>
          <w:color w:val="auto"/>
        </w:rPr>
      </w:pPr>
    </w:p>
    <w:p>
      <w:pPr>
        <w:ind w:left="5020" w:hanging="218"/>
        <w:spacing w:after="0"/>
        <w:tabs>
          <w:tab w:leader="none" w:pos="5020" w:val="left"/>
        </w:tabs>
        <w:numPr>
          <w:ilvl w:val="2"/>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620" w:hanging="222"/>
        <w:spacing w:after="0"/>
        <w:tabs>
          <w:tab w:leader="none" w:pos="3620" w:val="left"/>
        </w:tabs>
        <w:numPr>
          <w:ilvl w:val="0"/>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an Eligible Person and was awarded</w:t>
      </w:r>
    </w:p>
    <w:p>
      <w:pPr>
        <w:spacing w:after="0" w:line="229" w:lineRule="exact"/>
        <w:rPr>
          <w:rFonts w:ascii="Times New Roman" w:cs="Times New Roman" w:eastAsia="Times New Roman" w:hAnsi="Times New Roman"/>
          <w:sz w:val="18"/>
          <w:szCs w:val="18"/>
          <w:u w:val="single" w:color="auto"/>
          <w:color w:val="auto"/>
        </w:rPr>
      </w:pPr>
    </w:p>
    <w:p>
      <w:pPr>
        <w:ind w:left="4900" w:hanging="217"/>
        <w:spacing w:after="0"/>
        <w:tabs>
          <w:tab w:leader="none" w:pos="4900" w:val="left"/>
        </w:tabs>
        <w:numPr>
          <w:ilvl w:val="1"/>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RSUs of the Company.</w:t>
      </w:r>
    </w:p>
    <w:p>
      <w:pPr>
        <w:spacing w:after="0" w:line="22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RSUs vest 1/3 on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of the Grant Date and 1/3 on each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anniversary dates of the Date, respectively, all on the terms set out in, and in accordance with, the LTIP.</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RSUs granted to a Participant will be credited, as of the Grant Date, to a notional account in the name of the Participant that is maintained on the corporate accounting records of the Company in respect of the Participant’s participation in the LTIP.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RSU shall, contingent upon vesting provisions, represent one common share of the Company. The Company will issue from treasury to the Participant that number of common shares equal to the number of RSUs credited to the Participant’s account that become payable on the vesting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Vesting Date, the RSUs in respect of which such common shares are to be issued shall be cancelled and no further payments shall be made to the Participant under the LTIP in relation to the RSUs.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the RSUs evidenced hereby are not assignable, transferable, or negotiable and are subject to the detailed terms and conditions contained in the LTIP. This RSU Award Agreement is issued for convenience only and in the case of any dispute with regard to any matter in respect hereof, the provisions of the LTIP and the records of the Company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of Participant] hereby confirm that I am an Eligible Person as defined under the LTIP and accept the award of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Keel Infrastructure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awarded Performance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to the Participant named below pursuant to the Company’s Long-Term Performance Incentive Plan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that on</w:t>
      </w:r>
    </w:p>
    <w:p>
      <w:pPr>
        <w:spacing w:after="0" w:line="221" w:lineRule="exact"/>
        <w:rPr>
          <w:sz w:val="20"/>
          <w:szCs w:val="20"/>
          <w:color w:val="auto"/>
        </w:rPr>
      </w:pPr>
    </w:p>
    <w:p>
      <w:pPr>
        <w:ind w:left="5020" w:hanging="218"/>
        <w:spacing w:after="0"/>
        <w:tabs>
          <w:tab w:leader="none" w:pos="5020" w:val="left"/>
        </w:tabs>
        <w:numPr>
          <w:ilvl w:val="2"/>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620" w:hanging="222"/>
        <w:spacing w:after="0"/>
        <w:tabs>
          <w:tab w:leader="none" w:pos="3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an Eligible Person and was awarded</w:t>
      </w:r>
    </w:p>
    <w:p>
      <w:pPr>
        <w:spacing w:after="0" w:line="229" w:lineRule="exact"/>
        <w:rPr>
          <w:rFonts w:ascii="Times New Roman" w:cs="Times New Roman" w:eastAsia="Times New Roman" w:hAnsi="Times New Roman"/>
          <w:sz w:val="18"/>
          <w:szCs w:val="18"/>
          <w:color w:val="auto"/>
        </w:rPr>
      </w:pPr>
    </w:p>
    <w:p>
      <w:pPr>
        <w:ind w:left="4920" w:hanging="227"/>
        <w:spacing w:after="0"/>
        <w:tabs>
          <w:tab w:leader="none" w:pos="4920" w:val="left"/>
        </w:tabs>
        <w:numPr>
          <w:ilvl w:val="1"/>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PSUs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PSUs shall vest upon the attainment of the following criteria (the “</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prior to ** (the “</w:t>
      </w:r>
      <w:r>
        <w:rPr>
          <w:rFonts w:ascii="Times New Roman" w:cs="Times New Roman" w:eastAsia="Times New Roman" w:hAnsi="Times New Roman"/>
          <w:sz w:val="18"/>
          <w:szCs w:val="18"/>
          <w:b w:val="1"/>
          <w:bCs w:val="1"/>
          <w:color w:val="auto"/>
        </w:rPr>
        <w:t>Performance Cycle</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on the terms set out in, and in accordance with, the LTIP.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PSUs granted to a Participant will be credited, as of the Grant Date, to a notional account in the name of the Participant that is maintained on the corporate accounting records of the Company in respect of the Participant’s participation in the LTIP.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Contingent upon the attainment of the Performance Criteria within the Performance Cycle, each PSU shall represent one common share of the Company. On satisfaction of the Performance Criteria and after that date that is determined by the Board that the Performance Criteria has been satisfied (the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the Company will issue from treasury to the Participant that number of common shares equal to that number of PSUs credited to the Participant’s account that have become vested.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vesting of the PSUs and issuance of common shares in respect thereof, the PSUs shall be cancelled and no further payments shall be made to the Participant under the LTIP in relation to those PSUs.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the PSUs evidenced hereby are not assignable, transferable, or negotiable and are subject to the detailed terms and conditions contained in the LTIP. This PSU Award Agreement is issued for convenience only and in the case of any dispute with regard to any matter in respect hereof, the provisions of the LTIP and the records of the Company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of Participant] hereby confirm that I am an Eligible Person as defined under the LTIP and accept the award of PSUs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SHARE UNIT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Keel Infrastructure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awarded Deferred Share Units (“</w:t>
      </w:r>
      <w:r>
        <w:rPr>
          <w:rFonts w:ascii="Times New Roman" w:cs="Times New Roman" w:eastAsia="Times New Roman" w:hAnsi="Times New Roman"/>
          <w:sz w:val="18"/>
          <w:szCs w:val="18"/>
          <w:b w:val="1"/>
          <w:bCs w:val="1"/>
          <w:color w:val="auto"/>
        </w:rPr>
        <w:t>DSUs</w:t>
      </w:r>
      <w:r>
        <w:rPr>
          <w:rFonts w:ascii="Times New Roman" w:cs="Times New Roman" w:eastAsia="Times New Roman" w:hAnsi="Times New Roman"/>
          <w:sz w:val="18"/>
          <w:szCs w:val="18"/>
          <w:color w:val="auto"/>
        </w:rPr>
        <w:t>”) to the Participant named below pursuant to the Company’s Long-Term Performance Incentive Plan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that on</w:t>
      </w:r>
    </w:p>
    <w:p>
      <w:pPr>
        <w:spacing w:after="0" w:line="221" w:lineRule="exact"/>
        <w:rPr>
          <w:sz w:val="20"/>
          <w:szCs w:val="20"/>
          <w:color w:val="auto"/>
        </w:rPr>
      </w:pPr>
    </w:p>
    <w:p>
      <w:pPr>
        <w:ind w:left="5020" w:hanging="218"/>
        <w:spacing w:after="0"/>
        <w:tabs>
          <w:tab w:leader="none" w:pos="5020" w:val="left"/>
        </w:tabs>
        <w:numPr>
          <w:ilvl w:val="2"/>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620" w:hanging="222"/>
        <w:spacing w:after="0"/>
        <w:tabs>
          <w:tab w:leader="none" w:pos="3620" w:val="left"/>
        </w:tabs>
        <w:numPr>
          <w:ilvl w:val="0"/>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an Eligible Person and was awarded</w:t>
      </w:r>
    </w:p>
    <w:p>
      <w:pPr>
        <w:spacing w:after="0" w:line="229" w:lineRule="exact"/>
        <w:rPr>
          <w:rFonts w:ascii="Times New Roman" w:cs="Times New Roman" w:eastAsia="Times New Roman" w:hAnsi="Times New Roman"/>
          <w:sz w:val="18"/>
          <w:szCs w:val="18"/>
          <w:u w:val="single" w:color="auto"/>
          <w:color w:val="auto"/>
        </w:rPr>
      </w:pPr>
    </w:p>
    <w:p>
      <w:pPr>
        <w:ind w:left="4900" w:hanging="222"/>
        <w:spacing w:after="0"/>
        <w:tabs>
          <w:tab w:leader="none" w:pos="4900" w:val="left"/>
        </w:tabs>
        <w:numPr>
          <w:ilvl w:val="1"/>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DSUs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Company’s LTIP, the DSUs will be credited to your account and will be paid out at the time and in the manner specified in the LTIP.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the DSUs evidenced hereby are not assignable, transferable, or negotiable and are subject to the detailed terms and conditions contained in the LTIP. This DSU Award Agreement is issued for convenience only and in the case of any dispute with regard to any matter in respect hereof, the provisions of the LTIP and the records of the Company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of Participant] hereby confirm that I am an Eligible Person as defined under the LTIP and accept the award of DSUs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Keel Infrastructure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awarded incentive share purchase options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to the Participant named below pursuant to the Company’s Long-Term Performance Incentive Plan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that on:</w:t>
      </w:r>
    </w:p>
    <w:p>
      <w:pPr>
        <w:spacing w:after="0" w:line="221" w:lineRule="exact"/>
        <w:rPr>
          <w:sz w:val="20"/>
          <w:szCs w:val="20"/>
          <w:color w:val="auto"/>
        </w:rPr>
      </w:pPr>
    </w:p>
    <w:p>
      <w:pPr>
        <w:ind w:left="5040" w:hanging="308"/>
        <w:spacing w:after="0"/>
        <w:tabs>
          <w:tab w:leader="none" w:pos="5040" w:val="left"/>
        </w:tabs>
        <w:numPr>
          <w:ilvl w:val="2"/>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620" w:hanging="222"/>
        <w:spacing w:after="0"/>
        <w:tabs>
          <w:tab w:leader="none" w:pos="3620" w:val="left"/>
        </w:tabs>
        <w:numPr>
          <w:ilvl w:val="1"/>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an Eligible Person and was awarded</w:t>
      </w:r>
    </w:p>
    <w:p>
      <w:pPr>
        <w:spacing w:after="0" w:line="229" w:lineRule="exact"/>
        <w:rPr>
          <w:rFonts w:ascii="Times New Roman" w:cs="Times New Roman" w:eastAsia="Times New Roman" w:hAnsi="Times New Roman"/>
          <w:sz w:val="18"/>
          <w:szCs w:val="18"/>
          <w:u w:val="single" w:color="auto"/>
          <w:color w:val="auto"/>
        </w:rPr>
      </w:pPr>
    </w:p>
    <w:p>
      <w:pPr>
        <w:ind w:left="3820" w:right="3220" w:hanging="592"/>
        <w:spacing w:after="0" w:line="498" w:lineRule="auto"/>
        <w:tabs>
          <w:tab w:leader="none" w:pos="3448" w:val="left"/>
        </w:tabs>
        <w:numPr>
          <w:ilvl w:val="0"/>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Options for the purchase of ** common shares of the Company At a price of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u w:val="single" w:color="auto"/>
          <w:color w:val="auto"/>
        </w:rPr>
      </w:pPr>
    </w:p>
    <w:p>
      <w:pPr>
        <w:ind w:left="458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until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Expiry Date</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vest 1/3 on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date of the Grant Date and 1/3 on each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anniversary dates of the Grant Date,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Options are granted on the terms set out in, and in accordance with, the LTIP. The Company will provide the Participant with a copy of the LTIP if requested.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exercise the Options, the Participant must submit to the CEO, CFO or Corporate Secretary of the Company a completed authorization request in the prescribed form attached to this Option Award Agreement, along with a certified cheque, wire transfer or electronic fund transfer to the Company for the aggregate Exercise Price, plus any taxes or withholding remittances the Company may be required to remit on behalf of the Participant.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the Options evidenced hereby are not assignable, transferable, or negotiable and are subject to the detailed terms and conditions contained in the LTIP. This agreement is issued for convenience only and in the case of any dispute with regard to any matter in respect hereof, the provisions of the LTIP and the records of the Company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5031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of Participant] hereby confirm that I am an Eligible Person as defined under the LTIP and accept the award of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ind w:left="103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effective as of April 1, 2026 by and between Keel Infrastructure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[NAME OF INDEMNITEE]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This Agreement supersedes and replaces any and all previous Agreements between the Company and Indemnitee covering the subject matter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Indemnitee is a [director] and/or [executive officer]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both the Company and Indemnitee recognize the increased risk of litigation and other proceedings with claims being asserted against directors and officers of public companies;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Company’s Amended and Restated Certificate of Incorporation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require the Company to indemnify, and provide for the mandatory advancement of expenses to, its directors and officers to the extent and subject to the conditions provided therein, and Indemnitee serves as a [director] and/or [executive officer] of the Company, in part, in reliance on such provisions in the Company’s Certificate of Incorporation and Bylaws;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has determined that its inability to retain and attract as directors and officers the most capable persons available would be detrimental to the interests of the Company and that the Company therefore should provide such persons with assurances that they will be entitled in the future to indemnification and advancement of expenses and, to the extent applicable, coverage by directors’ and officers’ liability insurance; and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in recognition of Indemnitee’s need for substantial protection against personal liability, and in order to enhance the likelihood of Indemnitee’s continued service to the Company, and in part to provide Indemnitee with specific contractual assurance that the rights to indemnification and advancement of expenses set forth in the Company’s Certificate of Incorporation and Bylaws will be available to Indemnitee (regardless of, among other things, any amendment to or recission of the applicable provisions of the Certificate of Incorporation or Bylaws, any change in the composition of the Board of Directors, or any Change of Control (each, as defined below)), the Company wishes to provide in this Agreement for the indemnification of, and advancement of expenses to, Indemnitee to the fullest extent (whether partial or complete) permitted by applicable law, on the terms and conditions set forth in this Agreement, and, to the extent that a directors’ and officers’ liability insurance policy is maintained with respect to the Company’s directors and officers, the Company wishes to provide Indemnitee with assurance of the continued coverage of Indemnitee under such directors’ and officers’ liability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foregoing, the covenants and agreements contained in this Agreement, and of Indemnitee’s willingness to continue to serve as a [director] [and] [executive officer] of the Company and to serve at the Company’s request as an officer, director, employee, manager, member, partner, tax matters partner, partnership representative, agent, fiduciary, or trustee of, or in any other capacity with, another Person (as defined below) or any employee benefit plan, and intending to be legally bound hereby, the parties hereto agree as follows:</w:t>
      </w:r>
    </w:p>
    <w:p>
      <w:pPr>
        <w:spacing w:after="0" w:line="180" w:lineRule="exact"/>
        <w:rPr>
          <w:sz w:val="20"/>
          <w:szCs w:val="20"/>
          <w:color w:val="auto"/>
        </w:rPr>
      </w:pPr>
    </w:p>
    <w:p>
      <w:pPr>
        <w:ind w:left="840" w:hanging="184"/>
        <w:spacing w:after="0"/>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 (i) any “person” (as such term is used in Sections 13(d) and 14(d) of the Exchange Act), other than (A) a trustee or other fiduciary holding securities under an employee benefit plan of the Company, (B) a Subsidiary of the Company or (C) the Company’s stockholders in substantially the same proportions as their ownership of stock of the Company, is or becomes the “beneficial owner” (as defined in Rule 13d-3 under the Exchange Act), directly or indirectly, of securities of the Company representing twenty percent (20%) or more of the total voting power represented by the Company’s then outstanding Voting Securities, except to the extent that any repurchase or redemption of Voting Securities by the Company shall directly result in any person becoming the beneficial owner of twenty percent (20%) or more of the total voting power represented by the Company’s then outstanding Voting Securities, or (ii) during any period of two (2) consecutive years, individuals who, at the beginning of such period, constitute the Board of Directors and any new director whose appointment by the Board of Directors, or nomination for election by the Company’s stockholders, was approved by a vote of at least two-thirds (2/3) of the directors then in office who either were directors at the beginning of such two-year period or whose appointment or nomination for election by stockholders was previously so approved (such individuals,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cease for any reason to constitute a majority of the Board of Directors, (iii) the consummation, or the approval by the Company’s stockholders, of a merger, consolidation, business combination, recapitalization, restructuring or similar transaction of or involving the Company that results in, or would result in, the Voting Securities of the Company outstanding immediately prior thereto not representing, (either by remaining outstanding or by being converted into Voting Securities of the surviving or resulting entity thereof) at least fifty percent (50%) of the total voting power represented by the outstanding Voting Securities of the Company or of such surviving or resulting entity immediately after consummation of such merger, consolidation, business combination, recapitalization, restructuring or similar transaction, or (iv) the stockholders of the Company approve a plan of complete liquidation or dissolution of the Company or an agreement for the sale, lease, exchange or other disposition (in one transaction or a series of related transactions) of all or substantially all of the Company’s assets.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threatened, asserted, pending, or completed civil, criminal, administrative, investigative, or other action, suit, or proceeding of any kind whatsoever, including any arbitration or other alternative dispute resolution mechanism, any appeal of any kind from any of the foregoing, any inquiry or investigation, whether instituted by the Company, any governmental agency or any other party, that Indemnitee in good faith believes could lead to the institution of any action, suit, or proceeding, whether civil, criminal, administrative, investigative, or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920" w:hanging="264"/>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direct and indirect costs, expenses, and other monetary obligations (including, without limitation, attorneys’ fees and disbursements, experts’ fees, court costs, retainers, appeal bond premiums, arbitration costs, arbitrators’ fees, transcript fees, duplicating, printing, and binding costs, as well as telecommunications, postage, and courier charges) paid or incurred by or on behalf of Indemnitee in connection with investigating, prosecuting, defending, being a witness in, or participating in (including on appeal), or preparing to investigate, prosecute, defend, be a witness in, or participate in, any Claim arising out of, relating to, or resulting from any Indemnifiable Event, and shall include (without limitation) all of the foregoing, including attorneys’ fees and disbursements, incurred by or on behalf of Indemnitee in connection with enforcing Indemnitee’s rights under this Agreement, including preparing and submitting any notices, requests or supporting statements for indemnification, advancement or reimbursement, or any other right provided to Indemnitee by this Agreement (including, without limitation, all such fees or expenses incurred in connection with legal proceedings contemplated by Section 2(d)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Indemnifiable Amounts</w:t>
      </w:r>
      <w:r>
        <w:rPr>
          <w:rFonts w:ascii="Times New Roman" w:cs="Times New Roman" w:eastAsia="Times New Roman" w:hAnsi="Times New Roman"/>
          <w:sz w:val="18"/>
          <w:szCs w:val="18"/>
          <w:color w:val="auto"/>
        </w:rPr>
        <w:t>: means (i) any and all liabilities, Expenses, damages, judgments, fines, penalties, ERISA excise taxes, and amounts paid in settlement (including all interest, assessments, penalties and other charges paid or payable in connection with or in respect of such liabilities, Expenses, damages, judgments, fines, penalties, ERISA excise taxes, or amounts paid in settlement) incurred by or on behalf of Indemnitee in connection with any Claim arising out of, relating to, or resulting from an Indemnifiable Event, and (ii) any liability that an Indemnitee incurs that arises out of, relates to or results from Indemnitee’s acting on behalf of the Company (whether as a fiduciary or otherwise) in connection with the operation, administration, or maintenance of an employee benefit plan or any related trust or funding mechanism (whether such liability is in the form of an excise tax assessed by the United States Internal Revenue Service, a penalty assessed by the Department of Labor, restitution to such a plan or trust or other funding mechanism or to a participant or beneficiary of such plan, trust, or other funding mechanism, or otherwise).</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8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Indemnifiable Event</w:t>
      </w:r>
      <w:r>
        <w:rPr>
          <w:rFonts w:ascii="Times New Roman" w:cs="Times New Roman" w:eastAsia="Times New Roman" w:hAnsi="Times New Roman"/>
          <w:sz w:val="18"/>
          <w:szCs w:val="18"/>
          <w:color w:val="auto"/>
        </w:rPr>
        <w:t>: means any event or occurrence, whether occurring before, on, or after the date of this Agreement, arising out of, relating to, or resulting from the fact that Indemnitee is or was a director, officer, employee, agent or fiduciary of the Company, or is or was serving at the request of the Company as a director, officer, employee, manager, member, partner, tax matters partner, partnership representative, trustee, agent, fiduciary, or similar capacity, of a Subsidiary of the Company or another corporation, limited liability company, partnership, joint venture, employee benefit plan, trust, or other entity or enterprise, or by reason of any act or omission by Indemnitee in any such capacity (in each case, regardless of whether or not Indemnitee is acting or serving in any such capacity, or has such status, at the time any Claim is brought or any Indemnifiable Amount is incurred). The term “Company,” where the context requires when used in this Agreement, shall be construed to include each such Subsidiary or other corporation, limited liability company, partnership, joint venture, employee benefit plan, trust, or other entity or enterprise referred to in the immediately preceding sentence.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left="-20" w:firstLine="656"/>
        <w:spacing w:after="0" w:line="256" w:lineRule="auto"/>
        <w:tabs>
          <w:tab w:leader="none" w:pos="8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Legal Counsel</w:t>
      </w:r>
      <w:r>
        <w:rPr>
          <w:rFonts w:ascii="Times New Roman" w:cs="Times New Roman" w:eastAsia="Times New Roman" w:hAnsi="Times New Roman"/>
          <w:sz w:val="18"/>
          <w:szCs w:val="18"/>
          <w:color w:val="auto"/>
        </w:rPr>
        <w:t>: means an attorney or firm of attorneys, selected pursuant to and in accordance with the provisions of Section 3, who is experienced in matters of Delaware corporate law and who, at the time of any determination, shall not have performed services for the Company (or any of its Subsidiaries) or Indemnitee within the preceding three-year period (other than with respect to matters concerning the rights of Indemnitee or any other director or executive officer of the Company or its Subsidiaries under (i) this Agreement or any similar indemnification agreements, (ii) the Company’s Amended and Restated Certificate of Incorporation or Bylaws, each as amended and then in effect, and (iii) the DGCL and any other applicable law. ).</w:t>
      </w:r>
    </w:p>
    <w:p>
      <w:pPr>
        <w:spacing w:after="0" w:line="187" w:lineRule="exact"/>
        <w:rPr>
          <w:rFonts w:ascii="Times New Roman" w:cs="Times New Roman" w:eastAsia="Times New Roman" w:hAnsi="Times New Roman"/>
          <w:sz w:val="18"/>
          <w:szCs w:val="18"/>
          <w:color w:val="auto"/>
        </w:rPr>
      </w:pPr>
    </w:p>
    <w:p>
      <w:pPr>
        <w:ind w:left="-20" w:firstLine="656"/>
        <w:spacing w:after="0" w:line="282" w:lineRule="auto"/>
        <w:tabs>
          <w:tab w:leader="none" w:pos="9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means, with respect to any Claim for which Indemnitee is seeking indemnification, (i) the Board of Directors, (ii) any duly appointed committee of the Board of Directors which has been authorized by the Board of Directors to make determinations as to indemnification hereunder and whose members are not a party to, or otherwise involved in (including as a witness), the particular Claim for which Indemnitee is seeking indemnification, (iii) Independent Legal Counsel or (iv) the Company’s stockholders if so directed by the Board of Directors.</w:t>
      </w:r>
    </w:p>
    <w:p>
      <w:pPr>
        <w:spacing w:after="0" w:line="179"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9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such Person owns, directly or indirectly, a majority of the Voting Securities.</w:t>
      </w:r>
    </w:p>
    <w:p>
      <w:pPr>
        <w:spacing w:after="0" w:line="161"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88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with respect to any Person, any securities of such Person that are entitled to vote generally in the election of directors (or members of a comparable governing body) of such Person.</w:t>
      </w:r>
    </w:p>
    <w:p>
      <w:pPr>
        <w:spacing w:after="0" w:line="162" w:lineRule="exact"/>
        <w:rPr>
          <w:sz w:val="20"/>
          <w:szCs w:val="20"/>
          <w:color w:val="auto"/>
        </w:rPr>
      </w:pPr>
    </w:p>
    <w:p>
      <w:pPr>
        <w:ind w:left="820" w:hanging="184"/>
        <w:spacing w:after="0"/>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Indemnification Arrangement;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56"/>
        <w:spacing w:after="0" w:line="253" w:lineRule="auto"/>
        <w:tabs>
          <w:tab w:leader="none" w:pos="8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was, is or becomes subject to, a party to, or a witness or other participant in, or is threatened to be made subject to, a party to, or a witness or other participant in, a Claim by reason of, or arising out of, relating to, or resulting from, in whole or part, an Indemnifiable Event, subject to Section 2(d), the Company shall indemnify Indemnitee, or shall cause Indemnitee to be indemnified, for all Indemnifiable Amounts incurred in connection with such Claim, to the fullest extent permitted by applicable law in effect on the date hereof; provided, however, that, to the extent that any change in applicable law (whether by statute or judicial decision) permits greater indemnification by agreement than would be afforded currently under the this Agreement, it is the intent of the parties hereto that Indemnitee shall enjoy by this Agreement the greater benefits so afforded by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no change in applicable law after the date hereof shall have the effect of reducing the benefits available to Indemnitee hereunder based on applicable law as in effect on the date hereof or as such benefits may be expanded or otherwise improved as a result of any other changes to applicable law that become effective after the date hereof but prior to such change. Payments of Indemnifiable Amounts shall be made as soon as practicable following a determination pursuant to Section 2(d), but in any event no later than thirty (30) days after written demand for indemnification is delivered to the Company, unless (and to the extent) a determination is made pursuant to Section 2(d) that Indemnitee is not entitled to indemnification hereunder for such Indemnifiable Amounts.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84" w:name="page85"/>
    <w:bookmarkEnd w:id="84"/>
    <w:p>
      <w:pPr>
        <w:jc w:val="both"/>
        <w:ind w:firstLine="656"/>
        <w:spacing w:after="0" w:line="253" w:lineRule="auto"/>
        <w:tabs>
          <w:tab w:leader="none" w:pos="9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requested in writing by Indemnitee, the Company shall advance or reimburse Indemnitee, or cause Indemnitee to be advanced or reimbursed (within ten (10) days following the Company’s receipt of such written request), any and all Expenses incurred by Indemnitee (an “</w:t>
      </w:r>
      <w:r>
        <w:rPr>
          <w:rFonts w:ascii="Times New Roman" w:cs="Times New Roman" w:eastAsia="Times New Roman" w:hAnsi="Times New Roman"/>
          <w:sz w:val="18"/>
          <w:szCs w:val="18"/>
          <w:u w:val="single" w:color="auto"/>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The Company shall, in accordance with such written request (but without duplication), pay, or cause to be paid, such Expenses on behalf of Indemnitee, unless Indemnitee shall have elected to pay such Expenses and be reimbursed by the Company for such Expenses, in which case, the Company shall reimburse, or cause to be reimbursed, Indemnitee for such Expenses. To the fullest extent permitted applicable law/, Indemnitee’s right to an Expense Advance is absolute and shall not be subject to any prior determination by the Reviewing Party (or any other Person) that Indemnitee has satisfied any applicable standard of conduct. Indemnitee hereby undertakes to repay any and all amounts advanced or reimbursed by the Company as Expense Advances (without interest) if and to the extent it is ultimately determined in accordance with Section 2(d) that Indemnitee is not entitled under this Agreement to be indemnified by the Company in respect thereof. No other form of undertaking shall be required of Indemnitee other than execution of this Agreement. If Indemnitee commences legal proceedings within ninety (90) days after any determination that Indemnitee is not entitled to be indemnified hereunder in the Court of Chancery of the State of Delaware to secure a determination that Indemnitee is entitled to be indemnified pursuant to this Agreement, then Indemnitee shall not be required to reimburse the Company for any Expense Advance unless and until a final, non-appealable, judicial determination is made that Indemnitee is not entitled to indemnification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9"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brought by Indemnitee to enforce Indemnitee’s rights under this Agreement (including an action pursued by Indemnitee to secure a determination that Indemnitee is entitled to be indemnified pursuant to the terms of this Agreement).</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 the obligations of the Company under Section 2(a) shall be subject to the condition that the Reviewing Party shall not have determined (in a written opinion, in any case in which the Independent Legal Counsel is the Reviewing Party pursuant to Section 3 hereof) that Indemnitee is not entitled to be indemnified under applicable law, in whole or in part, and (ii) the obligation of the Company to make an Expense Advance pursuant to Section 2(b) shall be subject to the requirement that, if, when, and to the extent that the Reviewing Party ultimately determines that Indemnitee is not entitled to be indemnified under applicable law, in whole or in part, the Company shall be entitled to be reimbursed by Indemnitee pursuant to the undertaking set forth in Section 2(b)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Reviewing Party determines that Indemnitee is not entitled to be indemnified, in whole or in part, under applicable law, Indemnitee shall have the right to commence an action in the Court of Chancery of the State of Delaware to secure a determination as to whether Indemnitee is entitled to be indemnified under the terms of this Agreement or any provision of the Certificate of Incorporation or Bylaws now or hereafter in effect in connection with any Claims arising out of, relating to, or resulting from any Indemnifiable Event, or challenging any determination by the Reviewing Party (or any aspect thereof) in respect of Indemnitee’s right to indemnification hereunder, including the legal or factual bases therefor, in which case, any determination made by the Reviewing Party that Indemnitee is not entitled to be indemnified hereunder, in whole or in part, shall not be binding and Indemnitee shall not be required to reimburse the Company for any Expense Advance until a final, non-appealable, judicial determination is made with respect thereto (as to which all rights of appeal therefrom have been exhausted or lapsed). If there has not been a Change in Control, the Reviewing Party shall be, or shall be designated by, the Board of Directors, and if there has been a Change in Control (other than a transaction that would fall within the definition of Change in Control, except for the fact that it has been approved by a majority of Continuing Directors), the Reviewing Party shall be the Independent Legal Counsel referred to in Section 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56"/>
        <w:spacing w:after="0" w:line="253" w:lineRule="auto"/>
        <w:tabs>
          <w:tab w:leader="none" w:pos="9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no determination by the Reviewing Party within thirty (30) days after a written demand for indemnification has been delivered to the Company (the “</w:t>
      </w:r>
      <w:r>
        <w:rPr>
          <w:rFonts w:ascii="Times New Roman" w:cs="Times New Roman" w:eastAsia="Times New Roman" w:hAnsi="Times New Roman"/>
          <w:sz w:val="18"/>
          <w:szCs w:val="18"/>
          <w:u w:val="single" w:color="auto"/>
          <w:color w:val="auto"/>
        </w:rPr>
        <w:t>Determination Period</w:t>
      </w:r>
      <w:r>
        <w:rPr>
          <w:rFonts w:ascii="Times New Roman" w:cs="Times New Roman" w:eastAsia="Times New Roman" w:hAnsi="Times New Roman"/>
          <w:sz w:val="18"/>
          <w:szCs w:val="18"/>
          <w:color w:val="auto"/>
        </w:rPr>
        <w:t>”), Indemnitee shall have the right, but shall not be required as a condition of its right to receive expense advances and indemnification hereunder, to commence an action in the Court of Chancery of the State of Delaware seeking a determination of Indemnitee’s right to indemnification hereunder; provided, however, that the Determination Period may be extended for a reasonable time, not to exceed an additional thirty (30) days, if the Reviewing Party in good faith requires such additional time for obtaining or evaluating documentation and/or information relating thereto. The Determination Period will not apply (i) if the Reviewing Party is the Company’s stockholders and (A) within fifteen (15) days after receipt by the Company of such written demand for indemnification, the Board of Directors has resolved to submit such determination to the Company’s stockholders for their consideration at an annual meeting thereof to be held within seventy-five (75) days after such receipt and such determination is made thereat, or (B) a special meeting of stockholders is called within fifteen (15) days after receipt by the Company of such written demand for indemnification for the purpose of making such determination, such meeting is held for such purpose within sixty (60) days after having been so called and such determination is made thereat, or (ii) the Reviewing Party is the Independent Legal Counsel. The Company hereby consents to service of process and to appear in any such action brought by Indemnitee pursuant to this Section 2(e). Subject to the foregoing, any determination by the Reviewing Party otherwise shall be conclusive and binding on the Company and Indemnitee.</w:t>
      </w:r>
    </w:p>
    <w:p>
      <w:pPr>
        <w:spacing w:after="0" w:line="187" w:lineRule="exact"/>
        <w:rPr>
          <w:sz w:val="20"/>
          <w:szCs w:val="20"/>
          <w:color w:val="auto"/>
        </w:rPr>
      </w:pPr>
    </w:p>
    <w:p>
      <w:pPr>
        <w:jc w:val="both"/>
        <w:ind w:firstLine="656"/>
        <w:spacing w:after="0" w:line="253" w:lineRule="auto"/>
        <w:tabs>
          <w:tab w:leader="none" w:pos="8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The Company agrees that, if there is a Change in Control of the Company (other than a Change in Control, immediately following consummation of which, a majority of the Directors then in office shall be Continuing Directors), then, with respect to all determinations and other matters relating to the rights of Indemnitee to indemnification and Expense Advances under this Agreement or under any provision of the Certificate of Incorporation or Bylaws now or hereafter in effect with respect to any Claims arising out of, relating to, or resulting from Indemnifiable Events, the Company shall seek legal advice only from Independent Legal Counsel selected by the Company and approved by Indemnitee (which approval shall not be unreasonably withheld, delayed or conditioned). Such Independent Legal Counsel, among other things, shall render its written opinion to the Company and Indemnitee as to whether and to what extent Indemnitee is entitled to be indemnified under applicable law with respect to Indemnifiable Amounts arising out of such Claims. The Company agrees to pay, and be solely responsible for, all fees and disbursements of the Independent Legal Counsel in connection with the above and to reimburse and indemnify such Independent Legal Counsel against any and all expenses (including attorneys’ fees), claims, liabilities, and damages arising out of, relating to, or resulting from this Agreement or its engagement or services pursuant to the terms hereof.</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Additional Expenses</w:t>
      </w:r>
      <w:r>
        <w:rPr>
          <w:rFonts w:ascii="Times New Roman" w:cs="Times New Roman" w:eastAsia="Times New Roman" w:hAnsi="Times New Roman"/>
          <w:sz w:val="18"/>
          <w:szCs w:val="18"/>
          <w:color w:val="auto"/>
        </w:rPr>
        <w:t>. The Company shall indemnify Indemnitee, or cause Indemnitee to be indemnified, against any and all Expenses (including all attorneys’ fees and disbursements) incurred by Indemnitee in connection with any action brought by Indemnitee pursuant to Section 2(d) hereof seeking a determination as to (a) Indemnitee’s right to indemnification or an Expense Advance pursuant to this Agreement or any provision of the Certificate of Incorporation or Bylaws now or hereafter in effect with respect to any Claims arising out of, relating to, or resulting from Indemnifiable Events and (b) recovery under any directors’ and officers’ liability insurance policies maintained by the Company, regardless of whether Indemnitee is determined to be entitled to such indemnification, Expense Advance, or insurance recovery, as the case may be, and, if requested in writing by Indemnitee, the Company shall advance such Expenses to Indemnitee, subject to and in accordance with Section 2(b) 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56"/>
        <w:spacing w:after="0" w:line="256"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Indemnity, Etc.</w:t>
      </w:r>
      <w:r>
        <w:rPr>
          <w:rFonts w:ascii="Times New Roman" w:cs="Times New Roman" w:eastAsia="Times New Roman" w:hAnsi="Times New Roman"/>
          <w:sz w:val="18"/>
          <w:szCs w:val="18"/>
          <w:color w:val="auto"/>
        </w:rPr>
        <w:t xml:space="preserve"> If Indemnitee is entitled under any provision of this Agreement to indemnification by the Company for a portion of the Expenses or other Indemnifiable Amounts in respect of a Claim but not for the entire amount thereof, the Company shall indemnify Indemnitee for the portion thereof to which Indemnitee is entitled. Moreover, notwithstanding any other provision of this Agreement, to the extent that Indemnitee has been successful on the merits or otherwise (including dismissal without prejudice) in defense of any or all Claims arising out of, relating to, or resulting from any Indemnifiable Event, or in defense of any issue or matter therein, Indemnitee shall be indemnified against all Expenses and other Indemnifiable Amounts incurred in connection therewith.</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In connection with any determination by the Reviewing Party or otherwise as to whether Indemnitee is entitled to be indemnified hereunder, the Reviewing Party, or the court, or other finder of fact or appropriate Person shall presume that Indemnitee has satisfied the applicable standard of conduct and is entitled to indemnification, and the burden of proof shall be on the Company to establish by clear and convincing evidence that Indemnitee is not so entitled.</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as Safe Harbor</w:t>
      </w:r>
      <w:r>
        <w:rPr>
          <w:rFonts w:ascii="Times New Roman" w:cs="Times New Roman" w:eastAsia="Times New Roman" w:hAnsi="Times New Roman"/>
          <w:sz w:val="18"/>
          <w:szCs w:val="18"/>
          <w:color w:val="auto"/>
        </w:rPr>
        <w:t>. For all purposes of this Agreement, and without creating any presumption as to a lack of good faith, Indemnitee shall be deemed to have acted in good faith and in a manner Indemnitee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 actions, or failures to act, of any director, officer, agent, or employee of the Company shall not be imputed to Indemnitee for all purposes of determining Indemnitee’s right to indemnity 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Presumptions</w:t>
      </w:r>
      <w:r>
        <w:rPr>
          <w:rFonts w:ascii="Times New Roman" w:cs="Times New Roman" w:eastAsia="Times New Roman" w:hAnsi="Times New Roman"/>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or other tribunal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pursuant to Section 2(d) to secure a judicial determination that Indemnitee is entitled to indemnification under this Agreement shall be a defense to Indemnitee’s claim seeking such determination or create a presumption that Indemnitee has not met any particular standard of conduct or did not have any particular belief.</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etc.</w:t>
      </w:r>
      <w:r>
        <w:rPr>
          <w:rFonts w:ascii="Times New Roman" w:cs="Times New Roman" w:eastAsia="Times New Roman" w:hAnsi="Times New Roman"/>
          <w:sz w:val="18"/>
          <w:szCs w:val="18"/>
          <w:color w:val="auto"/>
        </w:rPr>
        <w:t xml:space="preserve"> The rights of Indemnitee hereunder shall be in addition to any other rights Indemnitee may have under the Certificate of Incorporation, the Bylaws, the DGCL, any other applicable law or otherwise. To the extent that there is a conflict or inconsistency between the terms of this Agreement and the Certificate of Incorporation or Bylaws, it is the intent of the parties hereto that Indemnitee shall enjoy the greater benefits regardless of whether contained herein or in the Certificate of Incorporation or Bylaws. No amendment or alteration of the Certificate of Incorporation or Bylaws or any other agreement or instrument shall adversely affect the rights provided to Indemnitee under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Insurance</w:t>
      </w:r>
      <w:r>
        <w:rPr>
          <w:rFonts w:ascii="Times New Roman" w:cs="Times New Roman" w:eastAsia="Times New Roman" w:hAnsi="Times New Roman"/>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 as applicable. If the Company has such insurance in effect at the time the Company receives from Indemnitee any notice of the commencement of any Claim arising out of, relating to, or resulting from an Indemnifiable Event for which Indemnitee is entitled to be indemnified hereunder, the Company shall give prompt notice of the commencement of such Claim to the insurers in accordance with the procedures set forth in the applicable policy. The Company shall thereafter take all necessary or desirable action to cause such insurers to pay, on behalf of Indemnitee, all amounts payable with respect to Indemnitee arising out of, resulting from or relating to such Claim in accordance with the terms of such policy.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56"/>
        <w:spacing w:after="0" w:line="261" w:lineRule="auto"/>
        <w:tabs>
          <w:tab w:leader="none" w:pos="9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No supplement, modification, or amendment of this Agreement shall be binding on any party hereto unless executed in writing by or on behalf of each of the Company and Indemnitee. No waiver of any of the provisions of this Agreement shall be binding on any party hereto, unless set forth in a writing executed by such party, nor shall any waiver be deemed or constitute a waiver of any other provisions hereof (whether or not similar), nor shall any such waiver constitute a continuing waiver.</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any payment by or on behalf of the Company under this Agreement the Company shall be subrogated to the extent of such payment to all of the rights of recovery of Indemnitee, who shall execute all documents and take all other actions reasonably requested to secure such rights and to enable the Company effectively to bring suit to enforce such rights. The Company shall pay or reimburse Indemnitee for all Expenses incurred by Indemnitee in connection with such subrogation.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to or on behalf of Indemnitee in connection with any Indemnifiable Amounts incurred by Indemnitee to the extent Indemnitee has otherwise received payment (under any insurance policy or any provision of the Certificate of Incorporation or Bylaws or otherwise) in respect of such Indemnifiable Amounts.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Defense of Claims.</w:t>
      </w:r>
      <w:r>
        <w:rPr>
          <w:rFonts w:ascii="Times New Roman" w:cs="Times New Roman" w:eastAsia="Times New Roman" w:hAnsi="Times New Roman"/>
          <w:sz w:val="18"/>
          <w:szCs w:val="18"/>
          <w:color w:val="auto"/>
        </w:rPr>
        <w:t xml:space="preserve"> Indemnitee shall notify the Company in writing as soon as practicable of any Claim arising out of, relating to, or resulting from an Indemnifiable Event or for which Indemnitee could seek Expense Advances, including a brief description (based upon information then available to Indemnitee) of the nature of, and the facts underlying, and amount of monetary damages sought in connection with, such Claim. The failure by Indemnitee to timely notify the Company hereunder shall not relieve the Company from any liability hereunder, except to the extent of any final, non-appealable, award in respect of a Claim for which Indemnitee’s failure to provide the Company with such timely notice deprived the Company of a reasonable opportunity to participate at its expense in the defense of such Claim.</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entitled to participate in the defense of any Claim arising out of, relating to, or resulting from an Indemnifiable Event, or to assume the defense thereof, with counsel chosen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Indemnitee believes, after consultation with counsel selected by Indemnitee, that in the event that (a) the use of the counsel chosen by the Company to represent Indemnitee would present such counsel with an actual or potential conflict of interest, (b) the named parties in any such Claim (including any impleaded parties) include the Company or any Subsidiary of the Company, on the one hand, and Indemnitee, on the other hand, and Indemnitee concludes, after consultation with counsel selected by Indemnitee, that there may be one or more legal defenses available to Indemnitee that are different from or in addition to those available to the Company or any Subsidiary of the Company, or (c) representation of Indemnitee by such counsel chosen by the Company would be precluded under the applicable standards of professional conduct then prevailing, then Indemnitee shall be entitled to retain separate counsel reasonably satisfactory to the Company (but not more than one law firm, plus, if applicable, one local counsel in any given jurisdiction in respect of any particular Claim) at the Company’s expense. The Company shall not be liable to Indemnitee under this Agreement for any Indemnifiable Amounts comprised of amounts paid in settlement of any Claim effected without the Company’s prior written consent. The Company shall not, without the prior written consent of Indemnitee, effect any settlement of any Claim arising out of, relating to, or resulting from an Indemnifiable Event to which Indemnitee is a party unless such settlement involves solely the payment of money (payment of which Indemnitee has no liability) and includes a complete and unconditional release of Indemnitee from all liability for all Claims arising out of, relating to, or resulting from, or based on the same underlying facts, events and circumstances that are the subject matter of such Claim. Neither the Company nor Indemnitee shall unreasonably withhold, condition, or delay its consent to any proposed settlement;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Indemnitee may withhold consent to any settlement that does not provide for such complete and unconditional release of Indemnitee.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56"/>
        <w:spacing w:after="0" w:line="253" w:lineRule="auto"/>
        <w:tabs>
          <w:tab w:leader="none" w:pos="9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etc.</w:t>
      </w:r>
      <w:r>
        <w:rPr>
          <w:rFonts w:ascii="Times New Roman" w:cs="Times New Roman" w:eastAsia="Times New Roman" w:hAnsi="Times New Roman"/>
          <w:sz w:val="18"/>
          <w:szCs w:val="18"/>
          <w:color w:val="auto"/>
        </w:rPr>
        <w:t xml:space="preserve"> This Agreement shall be binding upon and inure to the benefit of and be enforceable by the parties hereto and their respective successors, assigns (including any direct or indirect successor to the Company by purchase, merger, consolidation or otherwise to all or substantially all of the businesses or assets of the Company and its Subsidiaries), heirs, executors, and personal and legal representatives. This Agreement shall continue in effect with respect to all Indemnifiable Events that occur for so long as Indemnitee continues to serve as a director or officer of the Company or to serve, at the request of the Company, as a director, officer, employee, manager, member, partner, tax matters partner, partnership representative, trustee, agent, fiduciary, or similar capacity, of a Subsidiary of the Company or another corporation, limited liability company, partnership, joint venture, employee benefit plan, trust, or other entity or enterprise, or by reason of any act or omission by Indemnitee in any such capacity (in each case, regardless of whether or not Indemnitee is acting or serving in any such capacity, or has such status, at the time any Claim is brought or any Indemnifiable Amount is incurred). The Company shall take all actions necessary to require and cause any successor (whether direct or indirect by purchase, merger, consolidation, or otherwise) to all or substantially all of the businesses or assets of the Company and its Subsidiaries to assume and agree in writing to perform the Company’s obligations under this Agreement in the same manner and to the same extent that the Company would be required to perform if no such succession had taken place.</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severable in the event that any of the provisions hereof (including any provision within a single section, paragraph or sentence) are held by a court of competent jurisdiction to be invalid, illegal, void, or otherwise unenforceable in any respect, and the validity and enforceability of any such provision in every other respect and of all of the other provisions hereof shall not be in any way impaired as a result thereof, and shall remain enforceable to the fullest extent permitted by applicable law.</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for indemnification or Expense Advances, consents, waivers and other communications hereunder by either party hereto shall be deemed to be sufficient if set forth in a written document executed by such party and delivered to the other party hereto in person or by a nationally recognized overnight courier or by e-mail, in each case, addressed to such party at the address set forth below or such other address as may hereafter be designated in writing by either party and delivered to the other party in accordance with this Section 18(a):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to the Company,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Equitable Life Building, 120 Broadway, Suite 1075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Rachel Silverstein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rsilverstein@bitfarms.com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(b) If to Indemnitee, to the address set forth below Indemnitee’s signature on the signature page hereof.</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such notices, requests for indemnification or Expense Advances, consents, waivers and other communications delivered in accordance with Section 18(a) shall be deemed to have been given or made (i) if delivered in person, upon such delivery, (ii) if sent by overnight courier, the next business day after delivery to such overnight courier and (iii) if sent by e-mail, when sent to the e-mail addresses specified in Section 18(a) (or such other e-mail address as may be specified in a writing delivered to the other party in accordance with Section 18(a)).</w:t>
      </w:r>
    </w:p>
    <w:p>
      <w:pPr>
        <w:spacing w:after="0" w:line="180" w:lineRule="exact"/>
        <w:rPr>
          <w:sz w:val="20"/>
          <w:szCs w:val="20"/>
          <w:color w:val="auto"/>
        </w:rPr>
      </w:pPr>
    </w:p>
    <w:p>
      <w:pPr>
        <w:ind w:right="20" w:firstLine="656"/>
        <w:spacing w:after="0" w:line="282" w:lineRule="auto"/>
        <w:tabs>
          <w:tab w:leader="none" w:pos="9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Counterparts</w:t>
      </w:r>
      <w:r>
        <w:rPr>
          <w:rFonts w:ascii="Times New Roman" w:cs="Times New Roman" w:eastAsia="Times New Roman" w:hAnsi="Times New Roman"/>
          <w:sz w:val="18"/>
          <w:szCs w:val="18"/>
          <w:color w:val="auto"/>
        </w:rPr>
        <w:t>. This Agreement may be executed electronically (including by DocuSign) or by pdf signature and may be executed in counterparts, each of which shall for all purposes be deemed to be an original but all of which together shall constitute one and the same agreement. Only one such counterpart signed by the party against whom enforceability is sought need be produced to evidence the existence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This Agreement and all claims arising out of, relating to or resulting from this Agreement, or the parties’ rights and obligations hereunder, or either party’s compliance with the terms hereof, shall be governed by and construed and enforced in accordance with the laws of the State of Delaware, without giving effect to the principles of conflicts of laws. Each of the parties hereby agrees that any and all disputes, claims and actions arising out of, relating to or resulting from this Agreement, or the parties’ rights and obligations hereunder, or either party’s compliance with the terms hereof, shall be resolved by, and brought in, the Court of Chancery of the State of Delaware, and the parties hereto hereby irrevocably submit to the exclusive jurisdiction of such court over any such dispute, claim and action. The parties hereby irrevocably waive, to the fullest extent permitted by applicable law, any objection which they may now or hereafter have to the laying of venue of any such dispute, claim or action brought in the Court of Chancery of the State of Delaware or any defense of inconvenient forum for the maintenance of such dispute, claim or action. Each of the parties hereto agrees that a judgment in any action brought in the Court of Chancery of the State of Delaware may be enforced in other jurisdictions by suit on the judgment or in any other manner provided by law.</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WAIVES, TO THE FULLEST EXTENT PERMITTED BY APPLICABLE LAW, ANY RIGHT TO TRIAL BY JURY OF ANY CLAIM, DEMAND, ACTION, OR CAUSE OF ACTION (A) ARISING UNDER, RELATING TO OR RESULTING FROM THIS AGREEMENT OR (B) THE PARTIES’ PERFORMANCE OF THEIR OBLIGATIONS HEREUNDER AND COMPLIANCE WITH THE TERMS HEREOF, IN EACH CASE, WHETHER NOW EXISTING OR HEREAFTER ARISING, AND WHETHER IN CONTRACT, TORT, EQUITY OR OTHERWISE. THE PARTIES TO THIS AGREEMENT EACH HEREBY AGREE AND CONSENT THAT ANY SUCH CLAIM, DEMAND, ACTION, OR CAUSE OF ACTION SHALL BE DECIDED BY THE COURT OF CHANCERY OF THE STATE OF DELAWARE WITHOUT A JURY AND THAT THE PARTIES TO THIS AGREEMENT MAY FILE AN ORIGINAL COUNTERPART OF A COPY OF THIS AGREEMENT WITH SUCH COURT AS WRITTEN EVIDENCE OF THE CONSENT OF THE PARTIES HERETO TO THE WAIVER OF THEIR RIGHT TO TRIAL BY JURY.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this day of April , 2026.</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8890</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280035</wp:posOffset>
            </wp:positionV>
            <wp:extent cx="28460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[Indemnitee]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31645" cy="762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173164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Officially Rebrands as Keel Infrastructure; Completes U.S. Redomiciliation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Keel Infrastructure Well Positioned to Provide the Critical Foundation that Will Enable AI Platforms to Deploy Compute on Time and at Scale</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April 1, 2026 </w:t>
      </w:r>
      <w:r>
        <w:rPr>
          <w:rFonts w:ascii="Times New Roman" w:cs="Times New Roman" w:eastAsia="Times New Roman" w:hAnsi="Times New Roman"/>
          <w:sz w:val="18"/>
          <w:szCs w:val="18"/>
          <w:color w:val="auto"/>
        </w:rPr>
        <w:t>– Bitfarms Ltd. (NASDAQ/TSX: BITF) (“Bitfarms”) and Keel Infrastructure Corp. (“Keel Infrastructure” or “Keel”)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completion of Bitfarms’ previously announced redomiciliation from Canada to the United States (the “U.S. Redomiciliation”) pursuant to a statutory plan of arrangement (the “Arrangement”). The Arrangement was approved by Bitfarms’ shareholders at a special meeting held on March 20, 2026. The Ontario Superior Court of Justice (Commercial List) issued its final order approving the Arrangement on March 24, 2026.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rebrand is more than a name change—it’s a testament to what we’ve accomplished to date. A year ago, we set out on a transformational plan to pivot from Bitcoin and capitalize on the significant opportunity in HPC/AI infrastructure. The progress we’ve made since then has been substantial, and that work has made us who we are today, Keel Infrastructure,” said Ben Gagnon, Chief Executive Officer. “When you name a company Keel, you’re making a commitment to be foundational, to be the base that everything else depends on. That’s the standard we’re setting for ourselves. We are a pure-play infrastructure developer and owner, and our entire focus is on providing the energy-secured sites and facilities that enable our customers to deploy AI compute at the pace and scale they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130810</wp:posOffset>
            </wp:positionV>
            <wp:extent cx="2580005" cy="14490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258000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Note: Image is a computer-generated rendering of Panther Creek campus for illustrative purposes.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Gagnon continued, “I want to thank our shareholders for their continued support through this transformation, and our Keel crew—whose deep expertise, dedication, and focus drive our momentum forward and provide the stability that defines this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completion of the U.S. Redomiciliation, Keel Infrastructure, a corporation formed under the laws of the State of Delaware, is now the ultimate parent corporation of Bitfarms. Keel Infrastructure will carry on the business currently conducted by Bitfarms and its subsidiaries, and its sole principal executive office will be in New York 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Arrangement, each outstanding common share of Bitfarms (“Bitfarms Shares”) has been indirectly acquired by Keel Infrastructure in exchange for one share of common stock of Keel (“Keel Common Stock”). Keel Common Stock is expected to begin trading on the Nasdaq and the Toronto Stock Exchange (the “TSX”) under the ticker KEEL at the opening of trading on April 6, 2026 in substitution for the Bitfarms Shares, which will be delisted from the Nasdaq and the TSX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Further information regarding the Arrangement and the procedure for exchange of Bitfarms Shares for Keel Common Stock can be found in Bitfarms’ management information circular dated February 17, 2026 (the “Circular”). The Circular and accompanying letter of transmittal (“Letter of Transmittal”) are available under Bitfarms’ SEDAR+ profile at www.sedarplus.com, under Bitfarms’ EDGAR profile at www.sec.gov and on the Company’s website at www.keelinfra.com. Registered shareholders of Bitfarms who have not already done so must complete and sign the Letter of Transmittal and return it, together with the certificate(s)/DRS advice(s) representing their Bitfarms Shares and any other required documents and instruments, in accordance with the procedures set out in the Letter of Transmittal and instructions provided in the Circular.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Normal Course Issuer Bid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2025, Bitfarms established a normal course issuer bid (the “NCIB”) to purchase for cancellation up to 49,943,031 Bitfarms Shares through the facilities of the TSX and/or Nasdaq, or by such other means as may be permitted by the TSX and/or Nasdaq or under applicable law, during the period starting on July 28, 2025 and ending on July 27, 2026. In connection with the NCIB, Bitfarms entered into an automatic repurchase arrangement with a designated broker to facilitate repurchases under the NCIB during certain pre-determined blackout periods, based on instructions provided when not in blackout.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Arrangement, pursuant to the substitutional listing of the Keel Common Stock on Nasdaq and the TSX, Keel will continue the NCIB on the terms previously announced by Bitfarms, as Keel believes that the market price of its shares may, from time to time, not fully reflect their value. Purchases will be made by Keel in accordance with the requirements of Nasdaq and/or the TSX and the price which Keel will pay for any Keel Common Stock will be the market price of any such Keel Common Stock at the time of acquisition, or such other price as may be permitted by Nasdaq and/or the TSX. The timing, price and volume of repurchases will depend on a variety of factors including corporate liquidity requirements and priorities, as well as general market conditions, the share price, regulatory requirements and limitations,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Warning Disclosure by Keel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prior to the Arrangement, Keel did not own or have control over any Bitfarms Shares. Pursuant to the Arrangement, on April 1, 2026, Keel acquired, indirectly through 1576430 B.C. Unlimited Liability Company, a wholly owned subsidiary of Keel, 602,851,137 Bitfarms Shares, being all of the issued and outstanding Bitfarms Shares as of immediately prior to completion of the Arrangement. Pursuant to the Arrangement, Bitfarms shareholders received one share of Keel Common Stock per Bitfarms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early warning report of Keel in connection with the acquisition of the Bitfarms Shares will be filed under Bitfarms’ profile on SEDAR+ at www.sedarplus.ca. The address of Keel is Equitable Life Building, 120 Broadway, Suite 1075, New York, NY 10004 and the address of Bitfarms is 110 Yonge Street, Suite 1601, Toronto ON M5C 1T4.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obtain a copy of the early warning report to be filed by Keel in connection with this press release, please contact: Jennifer Drew-Bear at +1 929-264-5151.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Skadden, Arps, Slate, Meagher &amp; Flom LLP and Osler, Hoskin &amp; Harcourt LLP served as legal advisors, and Innisfree M&amp;A Incorporated and Laurel Hill Advisory Group served as proxy solicitation agents. Joele Frank, Wilkinson Brimmer Katcher served as strategic communications advisor.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Keel Infrastructure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Keel Infrastructure is a North American digital infrastructure and energy company that develops and owns data centers and energy infrastructure for high-performance computing workloads, including AI. With a pipeline of 2.2 gigawatts and established grid interconnections already in place, Keel delivers scalable infrastructure solutions in high-demand power markets across Pennsylvania and Washington in the United States, and Québec in Canada. Learn more at www.keelinfra.com.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U.S. Redomiciliation; the benefits of the U.S. Redomiciliation; the delisting of the Bitfarms Shares from, and the listing and trading of Keel Common Stock on, Nasdaq and the TSX; and other statements regarding future growth, plans and objectives of Keel are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 Such factors, risks and uncertainties include, among others: anticipated benefits of the U.S. Redomiciliation, including, but not limited to, expanded access to new capital pools, increased eligibility for index inclusion, strengthened commercial positioning with governmental bodies, utility partners and potential customers, enhanced alignment with U.S. customer requirements for data centers, reduced regulatory and political risk related to critical infrastructure and sensitive-data businesses, greater familiarity of Delaware law to U.S. investors and simplified comparison to other U.S. companies and peers, may not be realized or may not meet the expectations of Keel, may not occur at all, and may have unanticipated costs for Keel; incurrence of costs associated with the U.S. Redomiciliation beyond those estimated; unanticipated adverse tax consequences to Keel in connection with the U.S. Redomiciliation; the impact on the completion of the U.S. Redomiciliation on Keel’s business, results of operations and financial conditions;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Bitfarms’ Management Information Circular filed on February 25, 2026 in connection with the U.S. Redomiciliation and Bitfarms’ Annual Report on Form 10-K for the fiscal year ended December 31, 2025 (which is now Keel’s Annual Report). There may be other factors that cause our results to differ materially than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 Trading in the securities of Keel should be considered highly speculative.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Laine Yonker</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Tara Goldstein</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investors@keelinfra.com</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media@keelinfra.com</w:t>
            </w:r>
          </w:p>
        </w:tc>
      </w:tr>
      <w:tr>
        <w:trPr>
          <w:trHeight w:val="655"/>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6"/>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2"/>
    </w:lvl>
  </w:abstractNum>
  <w:abstractNum w:abstractNumId="8">
    <w:nsid w:val="7A6D8D3C"/>
    <w:multiLevelType w:val="hybridMultilevel"/>
    <w:lvl w:ilvl="0">
      <w:lvlJc w:val="left"/>
      <w:lvlText w:val="(%1)"/>
      <w:numFmt w:val="lowerLetter"/>
      <w:start w:val="1"/>
    </w:lvl>
  </w:abstractNum>
  <w:abstractNum w:abstractNumId="9">
    <w:nsid w:val="4B588F54"/>
    <w:multiLevelType w:val="hybridMultilevel"/>
    <w:lvl w:ilvl="0">
      <w:lvlJc w:val="left"/>
      <w:lvlText w:val="(%1)"/>
      <w:numFmt w:val="lowerLetter"/>
      <w:start w:val="2"/>
    </w:lvl>
    <w:lvl w:ilvl="1">
      <w:lvlJc w:val="left"/>
      <w:lvlText w:val="(%2)"/>
      <w:numFmt w:val="lowerRoman"/>
      <w:start w:val="1"/>
    </w:lvl>
  </w:abstractNum>
  <w:abstractNum w:abstractNumId="10">
    <w:nsid w:val="542289EC"/>
    <w:multiLevelType w:val="hybridMultilevel"/>
    <w:lvl w:ilvl="0">
      <w:lvlJc w:val="left"/>
      <w:lvlText w:val="(%1)"/>
      <w:numFmt w:val="lowerRoman"/>
      <w:start w:val="4"/>
    </w:lvl>
  </w:abstractNum>
  <w:abstractNum w:abstractNumId="11">
    <w:nsid w:val="6DE91B18"/>
    <w:multiLevelType w:val="hybridMultilevel"/>
    <w:lvl w:ilvl="0">
      <w:lvlJc w:val="left"/>
      <w:lvlText w:val="(%1)"/>
      <w:numFmt w:val="lowerRoman"/>
      <w:start w:val="1"/>
    </w:lvl>
  </w:abstractNum>
  <w:abstractNum w:abstractNumId="12">
    <w:nsid w:val="38437FDB"/>
    <w:multiLevelType w:val="hybridMultilevel"/>
    <w:lvl w:ilvl="0">
      <w:lvlJc w:val="left"/>
      <w:lvlText w:val="(%1)"/>
      <w:numFmt w:val="lowerLetter"/>
      <w:start w:val="1"/>
    </w:lvl>
  </w:abstractNum>
  <w:abstractNum w:abstractNumId="13">
    <w:nsid w:val="7644A45C"/>
    <w:multiLevelType w:val="hybridMultilevel"/>
    <w:lvl w:ilvl="0">
      <w:lvlJc w:val="left"/>
      <w:lvlText w:val="(%1)"/>
      <w:numFmt w:val="lowerLetter"/>
      <w:start w:val="2"/>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lowerRoman"/>
      <w:start w:val="3"/>
    </w:lvl>
  </w:abstractNum>
  <w:abstractNum w:abstractNumId="16">
    <w:nsid w:val="579478FE"/>
    <w:multiLevelType w:val="hybridMultilevel"/>
    <w:lvl w:ilvl="0">
      <w:lvlJc w:val="left"/>
      <w:lvlText w:val="(%1)"/>
      <w:numFmt w:val="lowerLetter"/>
      <w:start w:val="1"/>
    </w:lvl>
  </w:abstractNum>
  <w:abstractNum w:abstractNumId="17">
    <w:nsid w:val="749ABB43"/>
    <w:multiLevelType w:val="hybridMultilevel"/>
    <w:lvl w:ilvl="0">
      <w:lvlJc w:val="left"/>
      <w:lvlText w:val="(%1)"/>
      <w:numFmt w:val="lowerRoman"/>
      <w:start w:val="1"/>
    </w:lvl>
  </w:abstractNum>
  <w:abstractNum w:abstractNumId="18">
    <w:nsid w:val="3DC240FB"/>
    <w:multiLevelType w:val="hybridMultilevel"/>
    <w:lvl w:ilvl="0">
      <w:lvlJc w:val="left"/>
      <w:lvlText w:val="(%1)"/>
      <w:numFmt w:val="lowerRoman"/>
      <w:start w:val="1"/>
    </w:lvl>
  </w:abstractNum>
  <w:abstractNum w:abstractNumId="19">
    <w:nsid w:val="1BA026FA"/>
    <w:multiLevelType w:val="hybridMultilevel"/>
    <w:lvl w:ilvl="0">
      <w:lvlJc w:val="left"/>
      <w:lvlText w:val="(%1)"/>
      <w:numFmt w:val="lowerLetter"/>
      <w:start w:val="2"/>
    </w:lvl>
  </w:abstractNum>
  <w:abstractNum w:abstractNumId="20">
    <w:nsid w:val="79A1DEAA"/>
    <w:multiLevelType w:val="hybridMultilevel"/>
    <w:lvl w:ilvl="0">
      <w:lvlJc w:val="left"/>
      <w:lvlText w:val="(%1)"/>
      <w:numFmt w:val="lowerRoman"/>
      <w:start w:val="1"/>
    </w:lvl>
  </w:abstractNum>
  <w:abstractNum w:abstractNumId="21">
    <w:nsid w:val="75C6C33A"/>
    <w:multiLevelType w:val="hybridMultilevel"/>
    <w:lvl w:ilvl="0">
      <w:lvlJc w:val="left"/>
      <w:lvlText w:val="(%1)"/>
      <w:numFmt w:val="lowerLetter"/>
      <w:start w:val="1"/>
    </w:lvl>
  </w:abstractNum>
  <w:abstractNum w:abstractNumId="22">
    <w:nsid w:val="12E685FB"/>
    <w:multiLevelType w:val="hybridMultilevel"/>
    <w:lvl w:ilvl="0">
      <w:lvlJc w:val="left"/>
      <w:lvlText w:val="(%1)"/>
      <w:numFmt w:val="lowerRoman"/>
      <w:start w:val="2"/>
    </w:lvl>
  </w:abstractNum>
  <w:abstractNum w:abstractNumId="23">
    <w:nsid w:val="70C6A529"/>
    <w:multiLevelType w:val="hybridMultilevel"/>
    <w:lvl w:ilvl="0">
      <w:lvlJc w:val="left"/>
      <w:lvlText w:val="1"/>
      <w:numFmt w:val="bullet"/>
      <w:start w:val="1"/>
    </w:lvl>
  </w:abstractNum>
  <w:abstractNum w:abstractNumId="24">
    <w:nsid w:val="520EEDD1"/>
    <w:multiLevelType w:val="hybridMultilevel"/>
    <w:lvl w:ilvl="0">
      <w:lvlJc w:val="left"/>
      <w:lvlText w:val="(%1)"/>
      <w:numFmt w:val="lowerLetter"/>
      <w:start w:val="1"/>
    </w:lvl>
  </w:abstractNum>
  <w:abstractNum w:abstractNumId="25">
    <w:nsid w:val="374A3FE6"/>
    <w:multiLevelType w:val="hybridMultilevel"/>
    <w:lvl w:ilvl="0">
      <w:lvlJc w:val="left"/>
      <w:lvlText w:val="(%1)"/>
      <w:numFmt w:val="lowerLetter"/>
      <w:start w:val="6"/>
    </w:lvl>
    <w:lvl w:ilvl="1">
      <w:lvlJc w:val="left"/>
      <w:lvlText w:val="(%2)"/>
      <w:numFmt w:val="lowerRoman"/>
      <w:start w:val="1"/>
    </w:lvl>
  </w:abstractNum>
  <w:abstractNum w:abstractNumId="26">
    <w:nsid w:val="4F4EF005"/>
    <w:multiLevelType w:val="hybridMultilevel"/>
    <w:lvl w:ilvl="0">
      <w:lvlJc w:val="left"/>
      <w:lvlText w:val="(%1)"/>
      <w:numFmt w:val="lowerLetter"/>
      <w:start w:val="10"/>
    </w:lvl>
    <w:lvl w:ilvl="1">
      <w:lvlJc w:val="left"/>
      <w:lvlText w:val="(%2)"/>
      <w:numFmt w:val="lowerRoman"/>
      <w:start w:val="1"/>
    </w:lvl>
  </w:abstractNum>
  <w:abstractNum w:abstractNumId="27">
    <w:nsid w:val="23F9C13C"/>
    <w:multiLevelType w:val="hybridMultilevel"/>
    <w:lvl w:ilvl="0">
      <w:lvlJc w:val="left"/>
      <w:lvlText w:val="(%1)"/>
      <w:numFmt w:val="lowerLetter"/>
      <w:start w:val="18"/>
    </w:lvl>
  </w:abstractNum>
  <w:abstractNum w:abstractNumId="28">
    <w:nsid w:val="649BB77C"/>
    <w:multiLevelType w:val="hybridMultilevel"/>
    <w:lvl w:ilvl="0">
      <w:lvlJc w:val="left"/>
      <w:lvlText w:val="(%1)"/>
      <w:numFmt w:val="lowerLetter"/>
      <w:start w:val="27"/>
    </w:lvl>
  </w:abstractNum>
  <w:abstractNum w:abstractNumId="29">
    <w:nsid w:val="275AC794"/>
    <w:multiLevelType w:val="hybridMultilevel"/>
    <w:lvl w:ilvl="0">
      <w:lvlJc w:val="left"/>
      <w:lvlText w:val="(%1)"/>
      <w:numFmt w:val="lowerLetter"/>
      <w:start w:val="28"/>
    </w:lvl>
    <w:lvl w:ilvl="1">
      <w:lvlJc w:val="left"/>
      <w:lvlText w:val="(%2)"/>
      <w:numFmt w:val="lowerRoman"/>
      <w:start w:val="1"/>
    </w:lvl>
    <w:lvl w:ilvl="2">
      <w:lvlJc w:val="left"/>
      <w:lvlText w:val="%3."/>
      <w:numFmt w:val="upperLetter"/>
      <w:start w:val="1"/>
    </w:lvl>
  </w:abstractNum>
  <w:abstractNum w:abstractNumId="30">
    <w:nsid w:val="3938657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
    <w:nsid w:val="1CF10FD8"/>
    <w:multiLevelType w:val="hybridMultilevel"/>
    <w:lvl w:ilvl="0">
      <w:lvlJc w:val="left"/>
      <w:lvlText w:val="(%1)"/>
      <w:numFmt w:val="lowerLetter"/>
      <w:start w:val="29"/>
    </w:lvl>
    <w:lvl w:ilvl="1">
      <w:lvlJc w:val="left"/>
      <w:lvlText w:val="%2"/>
      <w:numFmt w:val="lowerRoman"/>
      <w:start w:val="1"/>
    </w:lvl>
    <w:lvl w:ilvl="2">
      <w:lvlJc w:val="left"/>
      <w:lvlText w:val="%3"/>
      <w:numFmt w:val="upperLetter"/>
      <w:start w:val="1"/>
    </w:lvl>
  </w:abstractNum>
  <w:abstractNum w:abstractNumId="32">
    <w:nsid w:val="180115BE"/>
    <w:multiLevelType w:val="hybridMultilevel"/>
    <w:lvl w:ilvl="0">
      <w:lvlJc w:val="left"/>
      <w:lvlText w:val="(%1)"/>
      <w:numFmt w:val="lowerLetter"/>
      <w:start w:val="34"/>
    </w:lvl>
  </w:abstractNum>
  <w:abstractNum w:abstractNumId="33">
    <w:nsid w:val="235BA861"/>
    <w:multiLevelType w:val="hybridMultilevel"/>
    <w:lvl w:ilvl="0">
      <w:lvlJc w:val="left"/>
      <w:lvlText w:val="(%1)"/>
      <w:numFmt w:val="lowerLetter"/>
      <w:start w:val="46"/>
    </w:lvl>
    <w:lvl w:ilvl="1">
      <w:lvlJc w:val="left"/>
      <w:lvlText w:val="%2"/>
      <w:numFmt w:val="upperLetter"/>
      <w:start w:val="1"/>
    </w:lvl>
    <w:lvl w:ilvl="2">
      <w:lvlJc w:val="left"/>
      <w:lvlText w:val="(%3)"/>
      <w:numFmt w:val="upperLetter"/>
      <w:start w:val="2"/>
    </w:lvl>
  </w:abstractNum>
  <w:abstractNum w:abstractNumId="34">
    <w:nsid w:val="47398C89"/>
    <w:multiLevelType w:val="hybridMultilevel"/>
    <w:lvl w:ilvl="0">
      <w:lvlJc w:val="left"/>
      <w:lvlText w:val="(%1)"/>
      <w:numFmt w:val="lowerLetter"/>
      <w:start w:val="52"/>
    </w:lvl>
  </w:abstractNum>
  <w:abstractNum w:abstractNumId="35">
    <w:nsid w:val="354FE9F9"/>
    <w:multiLevelType w:val="hybridMultilevel"/>
    <w:lvl w:ilvl="0">
      <w:lvlJc w:val="left"/>
      <w:lvlText w:val="(%1)"/>
      <w:numFmt w:val="lowerLetter"/>
      <w:start w:val="53"/>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lowerLetter"/>
      <w:start w:val="1"/>
    </w:lvl>
    <w:lvl w:ilvl="1">
      <w:lvlJc w:val="left"/>
      <w:lvlText w:val="(%2)"/>
      <w:numFmt w:val="lowerRoman"/>
      <w:start w:val="1"/>
    </w:lvl>
  </w:abstractNum>
  <w:abstractNum w:abstractNumId="38">
    <w:nsid w:val="D34B6A8"/>
    <w:multiLevelType w:val="hybridMultilevel"/>
    <w:lvl w:ilvl="0">
      <w:lvlJc w:val="left"/>
      <w:lvlText w:val="%1"/>
      <w:numFmt w:val="lowerLetter"/>
      <w:start w:val="1"/>
    </w:lvl>
    <w:lvl w:ilvl="1">
      <w:lvlJc w:val="left"/>
      <w:lvlText w:val="(%2)"/>
      <w:numFmt w:val="lowerRoman"/>
      <w:start w:val="2"/>
    </w:lvl>
  </w:abstractNum>
  <w:abstractNum w:abstractNumId="39">
    <w:nsid w:val="10233C99"/>
    <w:multiLevelType w:val="hybridMultilevel"/>
    <w:lvl w:ilvl="0">
      <w:lvlJc w:val="left"/>
      <w:lvlText w:val="(%1)"/>
      <w:numFmt w:val="lowerLetter"/>
      <w:start w:val="2"/>
    </w:lvl>
    <w:lvl w:ilvl="1">
      <w:lvlJc w:val="left"/>
      <w:lvlText w:val="%2"/>
      <w:numFmt w:val="lowerRoman"/>
      <w:start w:val="1"/>
    </w:lvl>
  </w:abstractNum>
  <w:abstractNum w:abstractNumId="40">
    <w:nsid w:val="3F6AB60F"/>
    <w:multiLevelType w:val="hybridMultilevel"/>
    <w:lvl w:ilvl="0">
      <w:lvlJc w:val="left"/>
      <w:lvlText w:val="(%1)"/>
      <w:numFmt w:val="lowerLetter"/>
      <w:start w:val="4"/>
    </w:lvl>
  </w:abstractNum>
  <w:abstractNum w:abstractNumId="41">
    <w:nsid w:val="61574095"/>
    <w:multiLevelType w:val="hybridMultilevel"/>
    <w:lvl w:ilvl="0">
      <w:lvlJc w:val="left"/>
      <w:lvlText w:val="(%1)"/>
      <w:numFmt w:val="lowerLetter"/>
      <w:start w:val="1"/>
    </w:lvl>
    <w:lvl w:ilvl="1">
      <w:lvlJc w:val="left"/>
      <w:lvlText w:val="(%2)"/>
      <w:numFmt w:val="lowerRoman"/>
      <w:start w:val="1"/>
    </w:lvl>
  </w:abstractNum>
  <w:abstractNum w:abstractNumId="42">
    <w:nsid w:val="7E0C57B1"/>
    <w:multiLevelType w:val="hybridMultilevel"/>
    <w:lvl w:ilvl="0">
      <w:lvlJc w:val="left"/>
      <w:lvlText w:val="(%1)"/>
      <w:numFmt w:val="lowerRoman"/>
      <w:start w:val="5"/>
    </w:lvl>
    <w:lvl w:ilvl="1">
      <w:lvlJc w:val="left"/>
      <w:lvlText w:val="%2."/>
      <w:numFmt w:val="upperLetter"/>
      <w:start w:val="1"/>
    </w:lvl>
  </w:abstractNum>
  <w:abstractNum w:abstractNumId="43">
    <w:nsid w:val="77AE35EB"/>
    <w:multiLevelType w:val="hybridMultilevel"/>
    <w:lvl w:ilvl="0">
      <w:lvlJc w:val="left"/>
      <w:lvlText w:val="(%1)"/>
      <w:numFmt w:val="lowerRoman"/>
      <w:start w:val="7"/>
    </w:lvl>
    <w:lvl w:ilvl="1">
      <w:lvlJc w:val="left"/>
      <w:lvlText w:val="%2."/>
      <w:numFmt w:val="upperLetter"/>
      <w:start w:val="1"/>
    </w:lvl>
  </w:abstractNum>
  <w:abstractNum w:abstractNumId="44">
    <w:nsid w:val="579BE4F1"/>
    <w:multiLevelType w:val="hybridMultilevel"/>
    <w:lvl w:ilvl="0">
      <w:lvlJc w:val="left"/>
      <w:lvlText w:val="(%1)"/>
      <w:numFmt w:val="lowerLetter"/>
      <w:start w:val="2"/>
    </w:lvl>
    <w:lvl w:ilvl="1">
      <w:lvlJc w:val="left"/>
      <w:lvlText w:val="(%2)"/>
      <w:numFmt w:val="lowerRoman"/>
      <w:start w:val="1"/>
    </w:lvl>
  </w:abstractNum>
  <w:abstractNum w:abstractNumId="45">
    <w:nsid w:val="310C50B3"/>
    <w:multiLevelType w:val="hybridMultilevel"/>
    <w:lvl w:ilvl="0">
      <w:lvlJc w:val="left"/>
      <w:lvlText w:val="(%1)"/>
      <w:numFmt w:val="lowerRoman"/>
      <w:start w:val="5"/>
    </w:lvl>
    <w:lvl w:ilvl="1">
      <w:lvlJc w:val="left"/>
      <w:lvlText w:val="%2."/>
      <w:numFmt w:val="upperLetter"/>
      <w:start w:val="1"/>
    </w:lvl>
  </w:abstractNum>
  <w:abstractNum w:abstractNumId="46">
    <w:nsid w:val="5FF87E05"/>
    <w:multiLevelType w:val="hybridMultilevel"/>
    <w:lvl w:ilvl="0">
      <w:lvlJc w:val="left"/>
      <w:lvlText w:val="%1"/>
      <w:numFmt w:val="lowerLetter"/>
      <w:start w:val="1"/>
    </w:lvl>
    <w:lvl w:ilvl="1">
      <w:lvlJc w:val="left"/>
      <w:lvlText w:val="(%2)"/>
      <w:numFmt w:val="lowerRoman"/>
      <w:start w:val="7"/>
    </w:lvl>
  </w:abstractNum>
  <w:abstractNum w:abstractNumId="47">
    <w:nsid w:val="2F305DEF"/>
    <w:multiLevelType w:val="hybridMultilevel"/>
    <w:lvl w:ilvl="0">
      <w:lvlJc w:val="left"/>
      <w:lvlText w:val="(%1)"/>
      <w:numFmt w:val="lowerLetter"/>
      <w:start w:val="3"/>
    </w:lvl>
    <w:lvl w:ilvl="1">
      <w:lvlJc w:val="left"/>
      <w:lvlText w:val="(%2)"/>
      <w:numFmt w:val="lowerRoman"/>
      <w:start w:val="1"/>
    </w:lvl>
  </w:abstractNum>
  <w:abstractNum w:abstractNumId="48">
    <w:nsid w:val="25A70BF7"/>
    <w:multiLevelType w:val="hybridMultilevel"/>
    <w:lvl w:ilvl="0">
      <w:lvlJc w:val="left"/>
      <w:lvlText w:val="(%1)"/>
      <w:numFmt w:val="lowerRoman"/>
      <w:start w:val="4"/>
    </w:lvl>
    <w:lvl w:ilvl="1">
      <w:lvlJc w:val="left"/>
      <w:lvlText w:val="%2."/>
      <w:numFmt w:val="upperLetter"/>
      <w:start w:val="1"/>
    </w:lvl>
  </w:abstractNum>
  <w:abstractNum w:abstractNumId="49">
    <w:nsid w:val="1DBABF00"/>
    <w:multiLevelType w:val="hybridMultilevel"/>
    <w:lvl w:ilvl="0">
      <w:lvlJc w:val="left"/>
      <w:lvlText w:val="(%1)"/>
      <w:numFmt w:val="lowerRoman"/>
      <w:start w:val="5"/>
    </w:lvl>
  </w:abstractNum>
  <w:abstractNum w:abstractNumId="50">
    <w:nsid w:val="4AD084E9"/>
    <w:multiLevelType w:val="hybridMultilevel"/>
    <w:lvl w:ilvl="0">
      <w:lvlJc w:val="left"/>
      <w:lvlText w:val="(%1)"/>
      <w:numFmt w:val="lowerLetter"/>
      <w:start w:val="4"/>
    </w:lvl>
    <w:lvl w:ilvl="1">
      <w:lvlJc w:val="left"/>
      <w:lvlText w:val="(%2)"/>
      <w:numFmt w:val="lowerRoman"/>
      <w:start w:val="1"/>
    </w:lvl>
  </w:abstractNum>
  <w:abstractNum w:abstractNumId="51">
    <w:nsid w:val="1F48EAA1"/>
    <w:multiLevelType w:val="hybridMultilevel"/>
    <w:lvl w:ilvl="0">
      <w:lvlJc w:val="left"/>
      <w:lvlText w:val="(%1)"/>
      <w:numFmt w:val="lowerRoman"/>
      <w:start w:val="6"/>
    </w:lvl>
    <w:lvl w:ilvl="1">
      <w:lvlJc w:val="left"/>
      <w:lvlText w:val="%2."/>
      <w:numFmt w:val="upperLetter"/>
      <w:start w:val="1"/>
    </w:lvl>
  </w:abstractNum>
  <w:abstractNum w:abstractNumId="52">
    <w:nsid w:val="1381823A"/>
    <w:multiLevelType w:val="hybridMultilevel"/>
    <w:lvl w:ilvl="0">
      <w:lvlJc w:val="left"/>
      <w:lvlText w:val="%1"/>
      <w:numFmt w:val="lowerRoman"/>
      <w:start w:val="1"/>
    </w:lvl>
    <w:lvl w:ilvl="1">
      <w:lvlJc w:val="left"/>
      <w:lvlText w:val="%2."/>
      <w:numFmt w:val="upperLetter"/>
      <w:start w:val="3"/>
    </w:lvl>
  </w:abstractNum>
  <w:abstractNum w:abstractNumId="53">
    <w:nsid w:val="5DB70AE5"/>
    <w:multiLevelType w:val="hybridMultilevel"/>
    <w:lvl w:ilvl="0">
      <w:lvlJc w:val="left"/>
      <w:lvlText w:val="(%1)"/>
      <w:numFmt w:val="lowerRoman"/>
      <w:start w:val="9"/>
    </w:lvl>
    <w:lvl w:ilvl="1">
      <w:lvlJc w:val="left"/>
      <w:lvlText w:val="%2."/>
      <w:numFmt w:val="upperLetter"/>
      <w:start w:val="1"/>
    </w:lvl>
  </w:abstractNum>
  <w:abstractNum w:abstractNumId="54">
    <w:nsid w:val="100F8FCA"/>
    <w:multiLevelType w:val="hybridMultilevel"/>
    <w:lvl w:ilvl="0">
      <w:lvlJc w:val="left"/>
      <w:lvlText w:val="%1"/>
      <w:numFmt w:val="lowerLetter"/>
      <w:start w:val="1"/>
    </w:lvl>
    <w:lvl w:ilvl="1">
      <w:lvlJc w:val="left"/>
      <w:lvlText w:val="(%2)"/>
      <w:numFmt w:val="lowerRoman"/>
      <w:start w:val="12"/>
    </w:lvl>
    <w:lvl w:ilvl="2">
      <w:lvlJc w:val="left"/>
      <w:lvlText w:val="%3."/>
      <w:numFmt w:val="upperLetter"/>
      <w:start w:val="1"/>
    </w:lvl>
  </w:abstractNum>
  <w:abstractNum w:abstractNumId="55">
    <w:nsid w:val="6590700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6">
    <w:nsid w:val="15014ACB"/>
    <w:multiLevelType w:val="hybridMultilevel"/>
    <w:lvl w:ilvl="0">
      <w:lvlJc w:val="left"/>
      <w:lvlText w:val="(%1)"/>
      <w:numFmt w:val="lowerRoman"/>
      <w:start w:val="2"/>
    </w:lvl>
  </w:abstractNum>
  <w:abstractNum w:abstractNumId="57">
    <w:nsid w:val="5F5E7FD0"/>
    <w:multiLevelType w:val="hybridMultilevel"/>
    <w:lvl w:ilvl="0">
      <w:lvlJc w:val="left"/>
      <w:lvlText w:val="(%1)"/>
      <w:numFmt w:val="lowerLetter"/>
      <w:start w:val="6"/>
    </w:lvl>
    <w:lvl w:ilvl="1">
      <w:lvlJc w:val="left"/>
      <w:lvlText w:val="(%2)"/>
      <w:numFmt w:val="lowerRoman"/>
      <w:start w:val="1"/>
    </w:lvl>
  </w:abstractNum>
  <w:abstractNum w:abstractNumId="58">
    <w:nsid w:val="98A3148"/>
    <w:multiLevelType w:val="hybridMultilevel"/>
    <w:lvl w:ilvl="0">
      <w:lvlJc w:val="left"/>
      <w:lvlText w:val="(%1)"/>
      <w:numFmt w:val="lowerLetter"/>
      <w:start w:val="1"/>
    </w:lvl>
    <w:lvl w:ilvl="1">
      <w:lvlJc w:val="left"/>
      <w:lvlText w:val="(%2)"/>
      <w:numFmt w:val="lowerRoman"/>
      <w:start w:val="1"/>
    </w:lvl>
  </w:abstractNum>
  <w:abstractNum w:abstractNumId="59">
    <w:nsid w:val="799D0247"/>
    <w:multiLevelType w:val="hybridMultilevel"/>
    <w:lvl w:ilvl="0">
      <w:lvlJc w:val="left"/>
      <w:lvlText w:val="%1"/>
      <w:numFmt w:val="lowerLetter"/>
      <w:start w:val="1"/>
    </w:lvl>
    <w:lvl w:ilvl="1">
      <w:lvlJc w:val="left"/>
      <w:lvlText w:val="(%2)"/>
      <w:numFmt w:val="lowerRoman"/>
      <w:start w:val="5"/>
    </w:lvl>
  </w:abstractNum>
  <w:abstractNum w:abstractNumId="60">
    <w:nsid w:val="6B94764"/>
    <w:multiLevelType w:val="hybridMultilevel"/>
    <w:lvl w:ilvl="0">
      <w:lvlJc w:val="left"/>
      <w:lvlText w:val="(%1)"/>
      <w:numFmt w:val="lowerLetter"/>
      <w:start w:val="4"/>
    </w:lvl>
    <w:lvl w:ilvl="1">
      <w:lvlJc w:val="left"/>
      <w:lvlText w:val="(%2)"/>
      <w:numFmt w:val="lowerRoman"/>
      <w:start w:val="1"/>
    </w:lvl>
  </w:abstractNum>
  <w:abstractNum w:abstractNumId="61">
    <w:nsid w:val="42C296BD"/>
    <w:multiLevelType w:val="hybridMultilevel"/>
    <w:lvl w:ilvl="0">
      <w:lvlJc w:val="left"/>
      <w:lvlText w:val="(%1)"/>
      <w:numFmt w:val="lowerLetter"/>
      <w:start w:val="1"/>
    </w:lvl>
    <w:lvl w:ilvl="1">
      <w:lvlJc w:val="left"/>
      <w:lvlText w:val="(%2)"/>
      <w:numFmt w:val="lowerRoman"/>
      <w:start w:val="1"/>
    </w:lvl>
  </w:abstractNum>
  <w:abstractNum w:abstractNumId="62">
    <w:nsid w:val="168E121F"/>
    <w:multiLevelType w:val="hybridMultilevel"/>
    <w:lvl w:ilvl="0">
      <w:lvlJc w:val="left"/>
      <w:lvlText w:val="(%1)"/>
      <w:numFmt w:val="lowerLetter"/>
      <w:start w:val="7"/>
    </w:lvl>
  </w:abstractNum>
  <w:abstractNum w:abstractNumId="63">
    <w:nsid w:val="1EBA5D23"/>
    <w:multiLevelType w:val="hybridMultilevel"/>
    <w:lvl w:ilvl="0">
      <w:lvlJc w:val="left"/>
      <w:lvlText w:val="(%1)"/>
      <w:numFmt w:val="lowerLetter"/>
      <w:start w:val="13"/>
    </w:lvl>
    <w:lvl w:ilvl="1">
      <w:lvlJc w:val="left"/>
      <w:lvlText w:val="(%2)"/>
      <w:numFmt w:val="lowerRoman"/>
      <w:start w:val="1"/>
    </w:lvl>
  </w:abstractNum>
  <w:abstractNum w:abstractNumId="64">
    <w:nsid w:val="661E3F1E"/>
    <w:multiLevelType w:val="hybridMultilevel"/>
    <w:lvl w:ilvl="0">
      <w:lvlJc w:val="left"/>
      <w:lvlText w:val="(%1)"/>
      <w:numFmt w:val="lowerLetter"/>
      <w:start w:val="17"/>
    </w:lvl>
  </w:abstractNum>
  <w:abstractNum w:abstractNumId="65">
    <w:nsid w:val="5DC79E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540A471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7">
    <w:nsid w:val="7BD3EE7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8">
    <w:nsid w:val="51D9C5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4"/>
    </w:lvl>
  </w:abstractNum>
  <w:abstractNum w:abstractNumId="72">
    <w:nsid w:val="42963E5A"/>
    <w:multiLevelType w:val="hybridMultilevel"/>
    <w:lvl w:ilvl="0">
      <w:lvlJc w:val="left"/>
      <w:lvlText w:val="(%1)"/>
      <w:numFmt w:val="lowerLetter"/>
      <w:start w:val="10"/>
    </w:lvl>
  </w:abstractNum>
  <w:abstractNum w:abstractNumId="73">
    <w:nsid w:val="A0382C5"/>
    <w:multiLevelType w:val="hybridMultilevel"/>
    <w:lvl w:ilvl="0">
      <w:lvlJc w:val="left"/>
      <w:lvlText w:val="%1."/>
      <w:numFmt w:val="decimal"/>
      <w:start w:val="2"/>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2"/>
    </w:lvl>
  </w:abstractNum>
  <w:abstractNum w:abstractNumId="76">
    <w:nsid w:val="3B0FD379"/>
    <w:multiLevelType w:val="hybridMultilevel"/>
    <w:lvl w:ilvl="0">
      <w:lvlJc w:val="left"/>
      <w:lvlText w:val="(%1)"/>
      <w:numFmt w:val="lowerLetter"/>
      <w:start w:val="5"/>
    </w:lvl>
  </w:abstractNum>
  <w:abstractNum w:abstractNumId="77">
    <w:nsid w:val="68EB2F63"/>
    <w:multiLevelType w:val="hybridMultilevel"/>
    <w:lvl w:ilvl="0">
      <w:lvlJc w:val="left"/>
      <w:lvlText w:val="%1."/>
      <w:numFmt w:val="decimal"/>
      <w:start w:val="3"/>
    </w:lvl>
  </w:abstractNum>
  <w:abstractNum w:abstractNumId="78">
    <w:nsid w:val="4962813B"/>
    <w:multiLevelType w:val="hybridMultilevel"/>
    <w:lvl w:ilvl="0">
      <w:lvlJc w:val="left"/>
      <w:lvlText w:val="%1."/>
      <w:numFmt w:val="decimal"/>
      <w:start w:val="5"/>
    </w:lvl>
  </w:abstractNum>
  <w:abstractNum w:abstractNumId="79">
    <w:nsid w:val="60B6DF70"/>
    <w:multiLevelType w:val="hybridMultilevel"/>
    <w:lvl w:ilvl="0">
      <w:lvlJc w:val="left"/>
      <w:lvlText w:val="%1."/>
      <w:numFmt w:val="decimal"/>
      <w:start w:val="11"/>
    </w:lvl>
  </w:abstractNum>
  <w:abstractNum w:abstractNumId="80">
    <w:nsid w:val="6A5EE64"/>
    <w:multiLevelType w:val="hybridMultilevel"/>
    <w:lvl w:ilvl="0">
      <w:lvlJc w:val="left"/>
      <w:lvlText w:val="%1."/>
      <w:numFmt w:val="decimal"/>
      <w:start w:val="16"/>
    </w:lvl>
  </w:abstractNum>
  <w:abstractNum w:abstractNumId="81">
    <w:nsid w:val="1433062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jpeg"/><Relationship Id="rId128" Type="http://schemas.openxmlformats.org/officeDocument/2006/relationships/image" Target="media/image116.jpeg"/><Relationship Id="rId129" Type="http://schemas.openxmlformats.org/officeDocument/2006/relationships/image" Target="media/image117.png"/><Relationship Id="rId130" Type="http://schemas.openxmlformats.org/officeDocument/2006/relationships/image" Target="media/image118.png"/><Relationship Id="rId26" Type="http://schemas.openxmlformats.org/officeDocument/2006/relationships/hyperlink" Target="http://www.sec.gov/Archives/edgar/data/1812477/000101376225000733/ea023274401ex4-3_bitfarms.htm" TargetMode="External"/><Relationship Id="rId27" Type="http://schemas.openxmlformats.org/officeDocument/2006/relationships/hyperlink" Target="http://www.sec.gov/Archives/edgar/data/1812477/000101376225000733/ea023274401ex4-4_bitfarms.htm" TargetMode="External"/><Relationship Id="rId28" Type="http://schemas.openxmlformats.org/officeDocument/2006/relationships/hyperlink" Target="http://www.sec.gov/Archives/edgar/data/1812477/000101376225000733/ea023274401ex4-5_bitfarms.htm" TargetMode="External"/><Relationship Id="rId29" Type="http://schemas.openxmlformats.org/officeDocument/2006/relationships/hyperlink" Target="http://www.sec.gov/Archives/edgar/data/1812477/000101376225000733/ea023274401ex4-6_bitfarms.htm" TargetMode="External"/><Relationship Id="rId30" Type="http://schemas.openxmlformats.org/officeDocument/2006/relationships/hyperlink" Target="http://www.sec.gov/Archives/edgar/data/1812477/000121390024035021/ea020433201ex4-3_b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2026-04-01T08:27:07Z</dcterms:created>
  <dcterms:modified xsi:type="dcterms:W3CDTF">2026-04-01T08:27:07Z</dcterms:modified>
</cp:coreProperties>
</file>