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December 2024 Production and Operations Update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hashrate 97% Y/Y to 12.8 EH/s -</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Improved efficiency 40% Y/Y to 21 w/TH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2,914 BTC for full-year 2024 -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Expanded operational MW 35% Y/Y to 324MW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Acquisition of Stronghold Digital Mining on track to close in Q1 2025 -</w:t>
      </w:r>
    </w:p>
    <w:p>
      <w:pPr>
        <w:spacing w:after="0" w:line="20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4"/>
          <w:szCs w:val="24"/>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2, 2025)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today issued its latest monthly production report. All financial references are in U.S. dollars.</w:t>
      </w:r>
    </w:p>
    <w:p>
      <w:pPr>
        <w:spacing w:after="0" w:line="15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CEO Ben Gagnon stated, “2024 was a transformative year for Bitfarms. While we did not meet our original growth targets, we accomplished a tremendous amount during the year. We doubled our hashrate and improved efficiency by 40%, upgraded 11 data centers, increased active MWs by 35%, revamped and strengthened our board of directors and management team, assumed control of our first U.S. large scale site in Sharon, PA with access to up to 120MW, negotiated a settlement to a hostile takeover attempt, and announced our proposed acquisition of Stronghold Digital Mining, Inc. (“Stronghold”), which represents the largest acquisition between two public companies in the Bitcoin mining sector.</w:t>
      </w:r>
    </w:p>
    <w:p>
      <w:pPr>
        <w:spacing w:after="0" w:line="18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strategy to shift our portfolio towards the U.S., the Stronghold acquisition, expected to close in Q1 2025, will expand and rebalance our energy portfolio in the attractive PJM region, with visibility on a target multi-year expansion capacity of up to 1.6 GW with approximately 66% in the U.S., an eleven-fold increase from approximately 6% today. By vertically integrating with power generation, expanding our energy trading capabilities and acquiring two high potential sites for HPC/AI with significant multi-year expansion potential, we are also executing our strategy to diversify beyond Bitcoin mining to create greater long-term shareholder value.</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Importantly, the changes we have implemented over the last six months since I became CEO have laid the foundation for a better future. We enter 2025 as a stronger, more diversified company with tremendous opportunities and a promising future. I look forward to leading the company and our amazing team in executing on this important transition from the international Bitcoin miner to a North American energy and compute company to capitalize on the massive growth opportunities in both HPC/AI and Bitcoin mining.”</w:t>
      </w:r>
    </w:p>
    <w:p>
      <w:pPr>
        <w:spacing w:after="0" w:line="183"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With liquidity of over $145 million at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these transformative initiatives have presented us with efficient capital-raising opportunities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growth”, noted Jeff Lucas, Chief Financial Officer. “We continue to be judicious in the raising and deployment of our capital with minimal dilution and maximizing shareholder value in mind. Our synthetic HODL program, which we initiated in October 2023, has been a key source of low-cost capital and enabled us to achieve superior returns on our Bitcoin. We took advantage of the BTC price highs in December to close out our positions and, since the program’s inception, have realized in US dollar terms a 187% return, generating a trading profit of over $24 million, and in BTC terms a 122% return, equivalent to a trading profit of 268 BTC.”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December mining operations generated 211 BTC compared to 207 BTC in November, reflecting a 4% increase in average operating EH and a 7% increase in Bitcoin difficulty.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2024 Select Operating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EH/s operational at December 31, 2024, up 97% Y/Y.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EH/s average operational, up 79% Y/Y and up 4% M/M.</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BTC/average EH/s, 74% lower Y/Y.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BTC earned, up 2% M/M and 53% lower Y/Y.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BTC earned daily on average, equal to ~$639,200 per day based on a BTC price of $94,000 at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4,928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2024 Financial Update</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147 of the 211 BTC earned as part of the Company’s regular treasury management practice for total proceeds of $14.3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of $147 million, including approximately $60 million in cash at December 31, 2024.</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64 BTC, bringing Treasury to 934 BTC, up from 870 BTC last month and representing $87.8 million based on the Bitcoin price of $94,000 at December 31, 2024.</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on BTC price highs to close out all Synthetic HODL™ positions in December for a 94% BTC denominated return and a 180% USD denominated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14-15, 2025: Needham Growth Conference (NYC)</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 12, 2025: AGP Virtual Tech conference</w:t>
      </w:r>
    </w:p>
    <w:p>
      <w:pPr>
        <w:spacing w:after="0" w:line="2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March 17-18, 2025: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ROTH Conference (Dana Point, 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3"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Computing/Artificial Intelligence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 PJM Interconnection LLC, a regional transmission organization (RTO) which is part of the Eastern Interconnection grid operating an electric transmission system serving all or parts of Delaware, Illinois, Indiana, Kentucky, Maryland, Michigan, New Jersey, North Carolina, Ohio, Pennsylvania, Tennessee, Virginia, West Virginia, and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67208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194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projected growth, target hashrate, opportunities relating to the Company’s geographical diversification and expansion, deployment of miners as well as the timing therefor, closing of the Stronghold acquisition on a timely basis and on the terms as announced, the positive impact of the Stronghold acquisition and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the </w:t>
      </w:r>
      <w:r>
        <w:rPr>
          <w:rFonts w:ascii="Times New Roman" w:cs="Times New Roman" w:eastAsia="Times New Roman" w:hAnsi="Times New Roman"/>
          <w:sz w:val="18"/>
          <w:szCs w:val="18"/>
          <w:i w:val="1"/>
          <w:iCs w:val="1"/>
          <w:color w:val="auto"/>
        </w:rPr>
        <w:t xml:space="preserve">benefits of diversification and other statements regarding future growth, plans and objectives of the Company are forward-looking information. Any </w:t>
      </w:r>
      <w:r>
        <w:rPr>
          <w:rFonts w:ascii="Times New Roman" w:cs="Times New Roman" w:eastAsia="Times New Roman" w:hAnsi="Times New Roman"/>
          <w:sz w:val="18"/>
          <w:szCs w:val="18"/>
          <w:i w:val="1"/>
          <w:iCs w:val="1"/>
          <w:color w:val="auto"/>
          <w:highlight w:val="white"/>
        </w:rPr>
        <w:t xml:space="preserve">statements that involve discussions with respect to predictions, expectations, beliefs, plans, projections, objectives, assumptions, future events or </w:t>
      </w:r>
      <w:r>
        <w:rPr>
          <w:rFonts w:ascii="Times New Roman" w:cs="Times New Roman" w:eastAsia="Times New Roman" w:hAnsi="Times New Roman"/>
          <w:sz w:val="18"/>
          <w:szCs w:val="18"/>
          <w:i w:val="1"/>
          <w:iCs w:val="1"/>
          <w:color w:val="auto"/>
        </w:rPr>
        <w:t xml:space="preserve">performance (often but not always using phrases such as “expects”, or “does not expect”, “is expected”, “anticipates” or “does not anticipate”, “plans”, “budget”, “scheduled”, “forecasts”, “estimates”, “prospects”, “believes” or “intends” or variations of such words and phrases or stating that certain </w:t>
      </w:r>
      <w:r>
        <w:rPr>
          <w:rFonts w:ascii="Times New Roman" w:cs="Times New Roman" w:eastAsia="Times New Roman" w:hAnsi="Times New Roman"/>
          <w:sz w:val="18"/>
          <w:szCs w:val="18"/>
          <w:i w:val="1"/>
          <w:iCs w:val="1"/>
          <w:color w:val="auto"/>
          <w:highlight w:val="white"/>
        </w:rPr>
        <w:t>actions, events or results “may” or “could”, “would”, “might” or “will” be taken to occur or be achieved) are not statements of historical fact and may be forward-looking information and are intended to identify forward-looking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t xml:space="preserve">This forward-looking information is based on assumptions and estimates of management of the Company at the time they were made, and involves known </w:t>
      </w:r>
      <w:r>
        <w:rPr>
          <w:rFonts w:ascii="Times New Roman" w:cs="Times New Roman" w:eastAsia="Times New Roman" w:hAnsi="Times New Roman"/>
          <w:sz w:val="17"/>
          <w:szCs w:val="17"/>
          <w:i w:val="1"/>
          <w:iCs w:val="1"/>
          <w:color w:val="auto"/>
          <w:highlight w:val="white"/>
        </w:rPr>
        <w:t xml:space="preserve">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7"/>
          <w:szCs w:val="17"/>
          <w:i w:val="1"/>
          <w:iCs w:val="1"/>
          <w:color w:val="auto"/>
        </w:rPr>
        <w:t>the risk that a material weakness in internal control over financial reporting could result in a misstatement of the Company’s</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digital currencies and the ability to mine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 No stock exchange,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371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Stronghold Acquisition and Where to Find It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526280"/>
                    </a:xfrm>
                    <a:prstGeom prst="rect">
                      <a:avLst/>
                    </a:prstGeom>
                    <a:noFill/>
                  </pic:spPr>
                </pic:pic>
              </a:graphicData>
            </a:graphic>
          </wp:anchor>
        </w:drawing>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Stronghold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 connection with the proposed merger, Bitfarms has filed with the SEC a registration statement on Form F-4 on December 19, 2024, which includes a proxy statement of Stronghold that also constitutes a prospectus of Bitfarms.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using the sources indicated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2025-01-02T16:32:59Z</dcterms:created>
  <dcterms:modified xsi:type="dcterms:W3CDTF">2025-01-02T16:32:59Z</dcterms:modified>
</cp:coreProperties>
</file>