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 w:name="page2"/>
    <w:bookmarkEnd w:id="1"/>
    <w:p>
      <w:pPr>
        <w:ind w:left="374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4,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333-278868).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October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4,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October 4,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2571750" cy="685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57175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Bitfarms Files Amended and Restated Prospectus Supplement for its Existing At-the-Market Equity Offering Program </w:t>
      </w:r>
      <w:r>
        <w:rPr>
          <w:rFonts w:ascii="Times New Roman" w:cs="Times New Roman" w:eastAsia="Times New Roman" w:hAnsi="Times New Roman"/>
          <w:sz w:val="18"/>
          <w:szCs w:val="18"/>
          <w:color w:val="auto"/>
        </w:rPr>
        <w:t>-This is a required amendment based on the proposed Stronghold Digital Mining acquisition--US$127 million remains on the ATM-</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amended and restated prospectus supplement dated October XX, 2024, to its short form base shelf prospectus dated November 10, 2023.</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w:t>
      </w:r>
      <w:r>
        <w:rPr>
          <w:rFonts w:ascii="Arial" w:cs="Arial" w:eastAsia="Arial" w:hAnsi="Arial"/>
          <w:sz w:val="18"/>
          <w:szCs w:val="18"/>
          <w:color w:val="auto"/>
          <w:highlight w:val="black"/>
        </w:rPr>
        <w:t>Ǫ</w:t>
      </w:r>
      <w:r>
        <w:rPr>
          <w:rFonts w:ascii="Times New Roman" w:cs="Times New Roman" w:eastAsia="Times New Roman" w:hAnsi="Times New Roman"/>
          <w:sz w:val="18"/>
          <w:szCs w:val="18"/>
          <w:b w:val="1"/>
          <w:bCs w:val="1"/>
          <w:color w:val="auto"/>
        </w:rPr>
        <w:t xml:space="preserve">uébec (October 4, 2024) </w:t>
      </w:r>
      <w:r>
        <w:rPr>
          <w:rFonts w:ascii="Times New Roman" w:cs="Times New Roman" w:eastAsia="Times New Roman" w:hAnsi="Times New Roman"/>
          <w:sz w:val="18"/>
          <w:szCs w:val="18"/>
          <w:color w:val="auto"/>
        </w:rPr>
        <w:t>- Bitfarms Ltd. (Nasdaq/TSX: BITF)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global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vertically integrated company, announces that it has filed an amended and restated prospectus supplement dated October 4, 2024 (the “</w:t>
      </w:r>
      <w:r>
        <w:rPr>
          <w:rFonts w:ascii="Times New Roman" w:cs="Times New Roman" w:eastAsia="Times New Roman" w:hAnsi="Times New Roman"/>
          <w:sz w:val="18"/>
          <w:szCs w:val="18"/>
          <w:b w:val="1"/>
          <w:bCs w:val="1"/>
          <w:color w:val="auto"/>
        </w:rPr>
        <w:t>A&amp;R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amending and restating the prospectus supplement dated March 8, 2024 (the “</w:t>
      </w:r>
      <w:r>
        <w:rPr>
          <w:rFonts w:ascii="Times New Roman" w:cs="Times New Roman" w:eastAsia="Times New Roman" w:hAnsi="Times New Roman"/>
          <w:sz w:val="18"/>
          <w:szCs w:val="18"/>
          <w:b w:val="1"/>
          <w:bCs w:val="1"/>
          <w:color w:val="auto"/>
        </w:rPr>
        <w:t>March Supplement</w:t>
      </w:r>
      <w:r>
        <w:rPr>
          <w:rFonts w:ascii="Times New Roman" w:cs="Times New Roman" w:eastAsia="Times New Roman" w:hAnsi="Times New Roman"/>
          <w:sz w:val="18"/>
          <w:szCs w:val="18"/>
          <w:color w:val="auto"/>
        </w:rPr>
        <w:t>”), to the Company’s existing US$375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base shelf prospectus dated November 10, 2023 (the “</w:t>
      </w:r>
      <w:r>
        <w:rPr>
          <w:rFonts w:ascii="Times New Roman" w:cs="Times New Roman" w:eastAsia="Times New Roman" w:hAnsi="Times New Roman"/>
          <w:sz w:val="18"/>
          <w:szCs w:val="18"/>
          <w:b w:val="1"/>
          <w:bCs w:val="1"/>
          <w:color w:val="auto"/>
        </w:rPr>
        <w:t>Base Shelf Prospectus</w:t>
      </w:r>
      <w:r>
        <w:rPr>
          <w:rFonts w:ascii="Times New Roman" w:cs="Times New Roman" w:eastAsia="Times New Roman" w:hAnsi="Times New Roman"/>
          <w:sz w:val="18"/>
          <w:szCs w:val="18"/>
          <w:color w:val="auto"/>
        </w:rPr>
        <w:t>” and, together with the A&amp;R Prospectus Supplement, the “</w:t>
      </w:r>
      <w:r>
        <w:rPr>
          <w:rFonts w:ascii="Times New Roman" w:cs="Times New Roman" w:eastAsia="Times New Roman" w:hAnsi="Times New Roman"/>
          <w:sz w:val="18"/>
          <w:szCs w:val="18"/>
          <w:b w:val="1"/>
          <w:bCs w:val="1"/>
          <w:color w:val="auto"/>
        </w:rPr>
        <w:t>A&amp;R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the Company’s press release dated March 8, 2024, the Company previously entered into an at-the-market offering agreement (the “</w:t>
      </w:r>
      <w:r>
        <w:rPr>
          <w:rFonts w:ascii="Times New Roman" w:cs="Times New Roman" w:eastAsia="Times New Roman" w:hAnsi="Times New Roman"/>
          <w:sz w:val="18"/>
          <w:szCs w:val="18"/>
          <w:b w:val="1"/>
          <w:bCs w:val="1"/>
          <w:color w:val="auto"/>
        </w:rPr>
        <w:t>ATM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March 8, 2024 with H.C. Wainwright &amp; Co., LLC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as agent, pursuant to which the Company has established an at-the-market equity program (the “</w:t>
      </w:r>
      <w:r>
        <w:rPr>
          <w:rFonts w:ascii="Times New Roman" w:cs="Times New Roman" w:eastAsia="Times New Roman" w:hAnsi="Times New Roman"/>
          <w:sz w:val="18"/>
          <w:szCs w:val="18"/>
          <w:b w:val="1"/>
          <w:bCs w:val="1"/>
          <w:color w:val="auto"/>
        </w:rPr>
        <w:t>ATM Program</w:t>
      </w:r>
      <w:r>
        <w:rPr>
          <w:rFonts w:ascii="Times New Roman" w:cs="Times New Roman" w:eastAsia="Times New Roman" w:hAnsi="Times New Roman"/>
          <w:sz w:val="18"/>
          <w:szCs w:val="18"/>
          <w:color w:val="auto"/>
        </w:rPr>
        <w:t>”). Pursuant to the ATM Program, the Company may, at its discretion and from time-to-time during the term of the ATM Agreement, sell, through the Agent, such number of common shares of the Company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as would result in aggregate gross proceeds to the Company of up to US$375 million. Sales of Common Shares, if any, through the Agent will be made through “at-the- market” issuances, including without limitation, sales made directly on the Nasdaq Stock Market or another trading market for the shares in the United States at the market price prevailing at the time of each sale. No Common Shares will be offered or sold under the ATM Program on the TSX or any other trading market in Canada. The ATM Program may be terminated by either party at any time.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of the ATM Program, if any, primarily on capital expenditures to support the growth and development of the Company’s existing mining operations as well as for working capital and general corporate purposes.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Common Shares will be distributed at trading prices prevailing at the time of the sale, prices may vary between purchasers and during the period of distribution. The volume and timing of sales, if any, will be determined at the sole discretion of the Company's management and in accordance with the terms of the ATM Agreement. To date, 109,323,321 Common Shares have been distributed by the Company for gross proceeds of approximately US$248 million pursuant to the ATM Agreement by means of the March Supplement.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and sale of the Common Shares under the ATM Program will be made only by means of the A&amp;R Prospectus included within the Company’s U.S. registration statement on Form F-10 (File No. 333-272989) filed with the U.S. Securities and Exchange Commission on March 8, 2024 (the “Registration Statement”). The A&amp;R Prospectus is available on the Company’s SEDAR+ profile at www.sedarplus.ca and the A&amp;R Prospectus and Registration Statement are available on the SEC’s EDGAR website at www.sec.gov.</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This news release does not constitute an offer to sell or the solicitation of an offer to buy, nor shall there be any sale of these Common Shares in any jurisdiction in which such offer, solicitation or sale would be unlawful prior to the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ATM Program and any sales of the Common Shares thereunder and proceeds to the Company therefrom, as well as the potential use of such proceeds,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 looking information.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there is no guarantee that the Company will be able to complete the acquisition of Stronghold Digital Mining, Inc. on the terms as announced,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any regulations or 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MD&amp;A for the year-ended December 31, 2023, filed on March 7,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Hill Advisory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Ǫ</w:t>
      </w:r>
      <w:r>
        <w:rPr>
          <w:rFonts w:ascii="Times New Roman" w:cs="Times New Roman" w:eastAsia="Times New Roman" w:hAnsi="Times New Roman"/>
          <w:sz w:val="18"/>
          <w:szCs w:val="18"/>
          <w:b w:val="1"/>
          <w:bCs w:val="1"/>
          <w:color w:val="auto"/>
        </w:rPr>
        <w:t>uébec: Tact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19" Type="http://schemas.openxmlformats.org/officeDocument/2006/relationships/hyperlink" Target="https://www.sec.gov/Archives/edgar/data/1812477/000121390023052498/ea180981-f10_bitfarmsltd.htm" TargetMode="External"/><Relationship Id="rId20" Type="http://schemas.openxmlformats.org/officeDocument/2006/relationships/hyperlink" Target="https://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2024-10-07T05:13:07Z</dcterms:created>
  <dcterms:modified xsi:type="dcterms:W3CDTF">2024-10-07T05:13:07Z</dcterms:modified>
</cp:coreProperties>
</file>