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Ben Gagnon</w:t>
      </w:r>
    </w:p>
    <w:p>
      <w:pPr>
        <w:spacing w:after="0" w:line="27"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642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620" cy="1714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br w:type="column"/>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6-K EXHIBIT INDEX</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6412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Note Indenture dated 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of Capped Call Confirmation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40" w:space="280"/>
            <w:col w:w="8999"/>
          </w:cols>
          <w:pgMar w:left="34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BITFARMS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COMPUTERSHARE TRUST COMPANY OF CANADA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as Canadian Co-Trustee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Dated as of October 21,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1.375%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86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1380" w:type="dxa"/>
            <w:vAlign w:val="bottom"/>
            <w:tcBorders>
              <w:bottom w:val="single" w:sz="8" w:color="CCEEFF"/>
            </w:tcBorders>
          </w:tcPr>
          <w:p>
            <w:pPr>
              <w:spacing w:after="0"/>
              <w:rPr>
                <w:sz w:val="24"/>
                <w:szCs w:val="24"/>
                <w:color w:val="auto"/>
              </w:rPr>
            </w:pPr>
          </w:p>
        </w:tc>
        <w:tc>
          <w:tcPr>
            <w:tcW w:w="88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w:t>
            </w:r>
            <w:r>
              <w:rPr>
                <w:rFonts w:ascii="Times New Roman" w:cs="Times New Roman" w:eastAsia="Times New Roman" w:hAnsi="Times New Roman"/>
                <w:sz w:val="12"/>
                <w:szCs w:val="12"/>
                <w:color w:val="auto"/>
              </w:rPr>
              <w:t>efinitions</w:t>
            </w:r>
          </w:p>
        </w:tc>
        <w:tc>
          <w:tcPr>
            <w:tcW w:w="10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1.03</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References to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10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Designation and 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Form of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 and Denomination of Notes; Payments of Principal, Interest and Defaulted Amounts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Execution, Authentication and Delivery of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Exchange and Registration of Transfer of Notes; Restrictions on Transfer; Depositary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Mutilated, Destroyed, Lost or Stolen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Temporary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Cancellation of Notes Paid, Converted, Etc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CUSIP Numbers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Notes; Repurchases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Amounts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S</w:t>
            </w:r>
            <w:r>
              <w:rPr>
                <w:rFonts w:ascii="Times New Roman" w:cs="Times New Roman" w:eastAsia="Times New Roman" w:hAnsi="Times New Roman"/>
                <w:sz w:val="12"/>
                <w:szCs w:val="12"/>
                <w:color w:val="auto"/>
              </w:rPr>
              <w:t>atisfaction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tc>
        <w:tc>
          <w:tcPr>
            <w:tcW w:w="10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10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Appointments to Fill Vacancies in Trustee’s Office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Provisions as to Paying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Existence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4.06</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Rule 144A Information Requirement and Annual Reports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4.07</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4.08</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Compliance Certificate; Statements as to Defaults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4.09</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Instruments and Acts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L</w:t>
            </w:r>
            <w:r>
              <w:rPr>
                <w:rFonts w:ascii="Times New Roman" w:cs="Times New Roman" w:eastAsia="Times New Roman" w:hAnsi="Times New Roman"/>
                <w:sz w:val="12"/>
                <w:szCs w:val="12"/>
                <w:color w:val="auto"/>
              </w:rPr>
              <w:t>ists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tc>
        <w:tc>
          <w:tcPr>
            <w:tcW w:w="10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Lists of Holders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Preservation and Disclosure of Lists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w:t>
            </w:r>
            <w:r>
              <w:rPr>
                <w:rFonts w:ascii="Times New Roman" w:cs="Times New Roman" w:eastAsia="Times New Roman" w:hAnsi="Times New Roman"/>
                <w:sz w:val="12"/>
                <w:szCs w:val="12"/>
                <w:color w:val="auto"/>
              </w:rPr>
              <w:t>efaults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1000" w:type="dxa"/>
            <w:vAlign w:val="bottom"/>
          </w:tcPr>
          <w:p>
            <w:pPr>
              <w:spacing w:after="0"/>
              <w:rPr>
                <w:sz w:val="18"/>
                <w:szCs w:val="18"/>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Events of Default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Acceleration; Rescission and Annulment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Interest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of Notes on Default; Suit Therefor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Application of Monies Collected by Trustee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Proceedings by Holders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Proceedings by Trustee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6.08</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Remedies Cumulative and Continuing</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6.09</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Direction of Proceedings and Waiver of Defaults by Majority of Holders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 of Defaults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6.11</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tc>
        <w:tc>
          <w:tcPr>
            <w:tcW w:w="1360" w:type="dxa"/>
            <w:vAlign w:val="bottom"/>
            <w:shd w:val="clear" w:color="auto" w:fill="CCEEFF"/>
          </w:tcPr>
          <w:p>
            <w:pPr>
              <w:spacing w:after="0"/>
              <w:rPr>
                <w:sz w:val="18"/>
                <w:szCs w:val="18"/>
                <w:color w:val="auto"/>
              </w:rPr>
            </w:pP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Duties and Responsibilities of Trustee</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Reliance on Documents, Opinions, Etc</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Responsibility for Recitals, Etc</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Trustee, Paying Agents, Conversion Agents, Bid Solicitation Agent or Note Registrar May Own Notes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Monies and Common Shares to Be Held in Trust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Compensation and Expenses of Trustee</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Officer’s Certificate as Evidence</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Eligibility of Trustee</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or Removal of Trustee</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Acceptance by Successor Trustee</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Succession by Merger, Etc</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Trustee’s Application for Instructions from the Company</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tc>
        <w:tc>
          <w:tcPr>
            <w:tcW w:w="136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Action by Holders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Proof of Execution by Holders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Who Are Deemed Absolute Owners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Company-Owned Notes Disregarded</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Revocation of Consents; Future Holders Bound</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tc>
        <w:tc>
          <w:tcPr>
            <w:tcW w:w="136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Purpose of Meetings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Call of Meetings by Trustee</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Call of Meetings by Company or Holders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Qualifications for Voting</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Regulations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Delay of Rights by Meeting</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tc>
        <w:tc>
          <w:tcPr>
            <w:tcW w:w="136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Notation on Notes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Evidence of Compliance of Supplemental Indenture to Be Furnished to Trustee</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tc>
        <w:tc>
          <w:tcPr>
            <w:tcW w:w="136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11.01</w:t>
            </w: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11.02</w:t>
            </w:r>
          </w:p>
        </w:tc>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Corporation to Be Substituted</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w:t>
            </w:r>
            <w:r>
              <w:rPr>
                <w:rFonts w:ascii="Times New Roman" w:cs="Times New Roman" w:eastAsia="Times New Roman" w:hAnsi="Times New Roman"/>
                <w:sz w:val="12"/>
                <w:szCs w:val="12"/>
                <w:color w:val="auto"/>
              </w:rPr>
              <w:t>mmunity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tc>
        <w:tc>
          <w:tcPr>
            <w:tcW w:w="900" w:type="dxa"/>
            <w:vAlign w:val="bottom"/>
            <w:shd w:val="clear" w:color="auto" w:fill="CCEEFF"/>
          </w:tcPr>
          <w:p>
            <w:pPr>
              <w:spacing w:after="0"/>
              <w:rPr>
                <w:sz w:val="18"/>
                <w:szCs w:val="18"/>
                <w:color w:val="auto"/>
              </w:rPr>
            </w:pP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12.01</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Indenture and Notes Solely Corporate Obligations</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 [I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C</w:t>
            </w:r>
            <w:r>
              <w:rPr>
                <w:rFonts w:ascii="Times New Roman" w:cs="Times New Roman" w:eastAsia="Times New Roman" w:hAnsi="Times New Roman"/>
                <w:sz w:val="12"/>
                <w:szCs w:val="12"/>
                <w:color w:val="auto"/>
              </w:rPr>
              <w:t>onversion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90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14.01</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Conversion Privilege</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14.02</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Conversion Procedure; Settlement Upon Conversion</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198"/>
        </w:trPr>
        <w:tc>
          <w:tcPr>
            <w:tcW w:w="1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Section 14.03</w:t>
            </w:r>
          </w:p>
        </w:tc>
        <w:tc>
          <w:tcPr>
            <w:tcW w:w="890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Increased Conversion Rate Applicable to Certain Notes Surrendered in Connection with Make-Whole Fundamental</w:t>
            </w:r>
          </w:p>
        </w:tc>
        <w:tc>
          <w:tcPr>
            <w:tcW w:w="900" w:type="dxa"/>
            <w:vAlign w:val="bottom"/>
            <w:shd w:val="clear" w:color="auto" w:fill="CCEEFF"/>
          </w:tcPr>
          <w:p>
            <w:pPr>
              <w:spacing w:after="0"/>
              <w:rPr>
                <w:sz w:val="17"/>
                <w:szCs w:val="17"/>
                <w:color w:val="auto"/>
              </w:rPr>
            </w:pPr>
          </w:p>
        </w:tc>
      </w:tr>
      <w:tr>
        <w:trPr>
          <w:trHeight w:val="234"/>
        </w:trPr>
        <w:tc>
          <w:tcPr>
            <w:tcW w:w="1440" w:type="dxa"/>
            <w:vAlign w:val="bottom"/>
            <w:shd w:val="clear" w:color="auto" w:fill="CCEEFF"/>
          </w:tcPr>
          <w:p>
            <w:pPr>
              <w:spacing w:after="0"/>
              <w:rPr>
                <w:sz w:val="20"/>
                <w:szCs w:val="20"/>
                <w:color w:val="auto"/>
              </w:rPr>
            </w:pP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or a Notice of Redemption</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14.04</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 of Conversion Rate</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14.05</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Adjustments of Prices</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14.06</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to Be Fully Paid</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14.07</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Recapitalizations, Reclassifications and Changes of the Common Shares</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14.08</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Covenants</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14.09</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Responsibility of Trustee</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14.10</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to Holders Prior to Certain Actions</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14.11</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Shareholder Rights Plans</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R</w:t>
            </w:r>
            <w:r>
              <w:rPr>
                <w:rFonts w:ascii="Times New Roman" w:cs="Times New Roman" w:eastAsia="Times New Roman" w:hAnsi="Times New Roman"/>
                <w:sz w:val="12"/>
                <w:szCs w:val="12"/>
                <w:color w:val="auto"/>
              </w:rPr>
              <w:t>epurchase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tc>
        <w:tc>
          <w:tcPr>
            <w:tcW w:w="90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15.01</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15.02</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Requirement to Offer to Repurchase Notes Upon a Fundamental Change</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15.03</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Withdrawal of Fundamental Change Repurchase Offer Acceptance Notice</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15.04</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 of Fundamental Change Repurchase Price</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15.05</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Covenant to Comply with Applicable Laws Upon Repurchase of Notes</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16 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tc>
        <w:tc>
          <w:tcPr>
            <w:tcW w:w="900" w:type="dxa"/>
            <w:vAlign w:val="bottom"/>
          </w:tcPr>
          <w:p>
            <w:pPr>
              <w:spacing w:after="0"/>
              <w:rPr>
                <w:sz w:val="18"/>
                <w:szCs w:val="18"/>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16.01</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Optional Redemption</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16.02</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Optional Redemption; Selection of Notes</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16.03</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Redemption of Notes for Changes in Canadian Tax Law</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16.04</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Tax Redemption</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16.05</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Notes Called for Redemption</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16.06</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Restrictions on Redemption</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17 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tc>
        <w:tc>
          <w:tcPr>
            <w:tcW w:w="900" w:type="dxa"/>
            <w:vAlign w:val="bottom"/>
            <w:shd w:val="clear" w:color="auto" w:fill="CCEEFF"/>
          </w:tcPr>
          <w:p>
            <w:pPr>
              <w:spacing w:after="0"/>
              <w:rPr>
                <w:sz w:val="18"/>
                <w:szCs w:val="18"/>
                <w:color w:val="auto"/>
              </w:rPr>
            </w:pP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17.01</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Provisions Binding on Company’s Successors</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17.02</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Official Acts by Successor Corporation</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17.03</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Addresses for Notices, Etc</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17.04</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17.05</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Evidence of Compliance with Conditions Precedent; Certificates and Opinions of Counsel to Trustee</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17.06</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Legal Holidays</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17.07</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Security Interest Created</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17.08</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Benefits of Indenture</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17.09</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17.10</w:t>
            </w:r>
          </w:p>
        </w:tc>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Authenticating Agent</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17.11</w:t>
            </w:r>
          </w:p>
        </w:tc>
        <w:tc>
          <w:tcPr>
            <w:tcW w:w="5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4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17.12</w:t>
            </w: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4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17.13</w:t>
            </w:r>
          </w:p>
        </w:tc>
        <w:tc>
          <w:tcPr>
            <w:tcW w:w="5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4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17.14</w:t>
            </w: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Force Majeure</w:t>
            </w:r>
          </w:p>
        </w:tc>
        <w:tc>
          <w:tcPr>
            <w:tcW w:w="4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17.15</w:t>
            </w:r>
          </w:p>
        </w:tc>
        <w:tc>
          <w:tcPr>
            <w:tcW w:w="5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Calculations</w:t>
            </w:r>
          </w:p>
        </w:tc>
        <w:tc>
          <w:tcPr>
            <w:tcW w:w="4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17.16</w:t>
            </w:r>
          </w:p>
        </w:tc>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 PATRIOT Act</w:t>
            </w:r>
          </w:p>
        </w:tc>
        <w:tc>
          <w:tcPr>
            <w:tcW w:w="4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bl>
    <w:p>
      <w:pPr>
        <w:spacing w:after="0" w:line="1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Appendix A</w:t>
      </w:r>
      <w:r>
        <w:rPr>
          <w:sz w:val="20"/>
          <w:szCs w:val="20"/>
          <w:color w:val="auto"/>
        </w:rPr>
        <w:tab/>
      </w:r>
      <w:r>
        <w:rPr>
          <w:rFonts w:ascii="Times New Roman" w:cs="Times New Roman" w:eastAsia="Times New Roman" w:hAnsi="Times New Roman"/>
          <w:sz w:val="17"/>
          <w:szCs w:val="17"/>
          <w:color w:val="auto"/>
        </w:rPr>
        <w:t>Provisions Relating to Initial Notes and Additional Notes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4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INDENTURE dated as of October 21, 2025 between BITFARMS LTD., a corporation organized and existing under the Business Corporations Act (Ontario),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COMPUTERSHARE TRUST COMPANY, N.A., as trustee, and COMPUTERSHARE TRUST COMPANY OF CANADA, as Canadian co-trustee (the “Canadian Co-Trustee” and together, with Computershare Trust Company, N.A.,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applicable, and as more fully set forth in Section 1.01).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1.375% Convertible Senior Notes due 2031, initially in an aggregate principal amount not to exceed $588,000,000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and in order to provide the terms and conditions upon which the Notes are to be authenticated, issued and delivered, the Company has duly authorized the execution and delivery of this Indenture; and</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Offer Acceptance Notice and the Form of Assignment and Transfer to be borne by the Notes are to be substantially in the forms hereinafter provided; and</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2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1.01 Definitions</w:t>
      </w:r>
      <w:r>
        <w:rPr>
          <w:rFonts w:ascii="Times New Roman" w:cs="Times New Roman" w:eastAsia="Times New Roman" w:hAnsi="Times New Roman"/>
          <w:sz w:val="18"/>
          <w:szCs w:val="18"/>
          <w:color w:val="auto"/>
        </w:rPr>
        <w:t>. The terms defined in this Section 1.01 (except as herein otherwise expressly provided or unless the context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shall have the meaning specified in Section 2.11(b).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4.06(d), 4.06(e) and Section 6.03,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means additional Notes issued pursuant to Section 2.10.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xml:space="preserve"> shall have the meaning specified in Section 17.03.</w:t>
      </w:r>
    </w:p>
    <w:p>
      <w:pPr>
        <w:spacing w:after="0" w:line="22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and Insolvency Act (Canada)</w:t>
      </w:r>
      <w:r>
        <w:rPr>
          <w:rFonts w:ascii="Times New Roman" w:cs="Times New Roman" w:eastAsia="Times New Roman" w:hAnsi="Times New Roman"/>
          <w:sz w:val="18"/>
          <w:szCs w:val="18"/>
          <w:color w:val="auto"/>
        </w:rPr>
        <w:t>” means Bankruptcy and Insolvency Act (Canada), as amended, and the rules and regulations promulgated thereunder.</w:t>
      </w:r>
    </w:p>
    <w:p>
      <w:pPr>
        <w:spacing w:after="0" w:line="15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 or the banking institutions in New York, New York, Toronto, Canada or where the Corporate Trust Office is located are authorized or required by law or executive order to close or be closed.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Common Shares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of the Company, at the date of this Indenture, subject to Section 14.07.</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Creditors Arrangement Act (Canada)</w:t>
      </w:r>
      <w:r>
        <w:rPr>
          <w:rFonts w:ascii="Times New Roman" w:cs="Times New Roman" w:eastAsia="Times New Roman" w:hAnsi="Times New Roman"/>
          <w:sz w:val="18"/>
          <w:szCs w:val="18"/>
          <w:color w:val="auto"/>
        </w:rPr>
        <w:t>” means Companies’ Creditors Arrangement Act (Canada), as amended, and the rules and regulations promulgated thereunder.</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 and delivered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time, $1,000, divided by the Conversion Rate as of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its corporate trust business shall be administered, which office at the date hereof is located at Computershare Trust Company, N.A., 1505 Energy Park Drive, St. Paul, MN 55108, Attn: Bitfarms Ltd.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DTC, with respect to the Global Notes, or any successor entity thereto.</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thirty (30) consecutive Trading Days during the Observation Period, 1/30th of the product of (a) the Conversion Rate on such Trading Day and (b) the Daily VWAP for such Trading Day.</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means the Specified Dollar Amount (if any), divided by 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thirty (30) consecutive Trading Days during the Observation Period, shall consist 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in an amount equal to the lesser of (i) the Daily Measurement Value and (ii) the Daily Conversion Value on such Trading Day;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right="100" w:firstLine="644"/>
        <w:spacing w:after="0" w:line="312" w:lineRule="auto"/>
        <w:tabs>
          <w:tab w:leader="none" w:pos="156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Daily Conversion Value on such Trading Day exceeds the Daily Measurement Value, a number of Common Shares equal to (i) the difference between the Daily Conversion Value and the Daily Measurement Value, divided by (ii) the Daily VWAP for such Trading Day.</w:t>
      </w:r>
    </w:p>
    <w:p>
      <w:pPr>
        <w:spacing w:after="0" w:line="13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Trading Day, the per share volume-weighted average price as displayed under the heading “</w:t>
      </w:r>
      <w:r>
        <w:rPr>
          <w:rFonts w:ascii="Times New Roman" w:cs="Times New Roman" w:eastAsia="Times New Roman" w:hAnsi="Times New Roman"/>
          <w:sz w:val="18"/>
          <w:szCs w:val="18"/>
          <w:b w:val="1"/>
          <w:bCs w:val="1"/>
          <w:color w:val="auto"/>
        </w:rPr>
        <w:t>Bloomberg VWAP</w:t>
      </w:r>
      <w:r>
        <w:rPr>
          <w:rFonts w:ascii="Times New Roman" w:cs="Times New Roman" w:eastAsia="Times New Roman" w:hAnsi="Times New Roman"/>
          <w:sz w:val="18"/>
          <w:szCs w:val="18"/>
          <w:color w:val="auto"/>
        </w:rPr>
        <w:t>” on Bloomberg page “</w:t>
      </w:r>
      <w:r>
        <w:rPr>
          <w:rFonts w:ascii="Times New Roman" w:cs="Times New Roman" w:eastAsia="Times New Roman" w:hAnsi="Times New Roman"/>
          <w:sz w:val="18"/>
          <w:szCs w:val="18"/>
          <w:b w:val="1"/>
          <w:bCs w:val="1"/>
          <w:color w:val="auto"/>
        </w:rPr>
        <w:t>BITF.US &lt;equity&gt; AQR</w:t>
      </w:r>
      <w:r>
        <w:rPr>
          <w:rFonts w:ascii="Times New Roman" w:cs="Times New Roman" w:eastAsia="Times New Roman" w:hAnsi="Times New Roman"/>
          <w:sz w:val="18"/>
          <w:szCs w:val="18"/>
          <w:color w:val="auto"/>
        </w:rPr>
        <w:t>”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Shares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shall have the meaning specified in Section 2.03(b).</w:t>
      </w:r>
    </w:p>
    <w:p>
      <w:pPr>
        <w:spacing w:after="0" w:line="225" w:lineRule="exact"/>
        <w:rPr>
          <w:sz w:val="20"/>
          <w:szCs w:val="20"/>
          <w:color w:val="auto"/>
        </w:rPr>
      </w:pPr>
    </w:p>
    <w:p>
      <w:pPr>
        <w:ind w:right="8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5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15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“distribution trigger irrevocable physical settlement period” </w:t>
      </w:r>
      <w:r>
        <w:rPr>
          <w:rFonts w:ascii="Times New Roman" w:cs="Times New Roman" w:eastAsia="Times New Roman" w:hAnsi="Times New Roman"/>
          <w:sz w:val="18"/>
          <w:szCs w:val="18"/>
          <w:color w:val="auto"/>
        </w:rPr>
        <w:t>shall have the meaning specified in Section 14.01(b)(ii).</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2" w:name="page13"/>
    <w:bookmarkEnd w:id="12"/>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shall be legal tender for the payment of public and private debts.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Common Shares trade on the applicable exchange or in the applicable market, regular way, reflecting the relevant share split or share combination, as applicable. For the avoidance of doubt, any alternative trading convention on the applicable exchange or market in respect of the Common Shares, under a separate ticker symbol or CUSIP number, will not be considered “regular way” for purposes of this definition.</w:t>
      </w:r>
    </w:p>
    <w:p>
      <w:pPr>
        <w:spacing w:after="0" w:line="176"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Means”</w:t>
      </w:r>
      <w:r>
        <w:rPr>
          <w:rFonts w:ascii="Times New Roman" w:cs="Times New Roman" w:eastAsia="Times New Roman" w:hAnsi="Times New Roman"/>
          <w:sz w:val="18"/>
          <w:szCs w:val="18"/>
          <w:color w:val="auto"/>
        </w:rPr>
        <w:t xml:space="preserve"> shall mean the following communications methods: e-mail or secure electronic transmission containing applicable authorization codes, passwords and/or authentication keys issued by the Trustee, or another method or system specified by the Trustee by notice to the Holders and the Company as available for use in connection with its services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the Common Shares trade on Nasdaq (or if the Common Shares are not then listed on Nasdaq, the principal securities exchange or market on which the Common Shares are traded), regular way, without the right to receive the issuance, dividend or distribution in question, from the Company or, if applicable, from the seller of Common Shares on such exchange or market (in the form of due bills or otherwise) as determined by such exchange or market. For the avoidance of doubt, any alternative trading convention on the applicable exchange or market in respect of the Common Shares, under a separate ticker symbol or CUSIP number, will not be considered “regular way” for purposes of this definition.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155" w:lineRule="exact"/>
        <w:rPr>
          <w:sz w:val="20"/>
          <w:szCs w:val="20"/>
          <w:color w:val="auto"/>
        </w:rPr>
      </w:pPr>
    </w:p>
    <w:p>
      <w:pPr>
        <w:ind w:right="8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Offer Acceptance Notice</w:t>
      </w:r>
      <w:r>
        <w:rPr>
          <w:rFonts w:ascii="Times New Roman" w:cs="Times New Roman" w:eastAsia="Times New Roman" w:hAnsi="Times New Roman"/>
          <w:sz w:val="18"/>
          <w:szCs w:val="18"/>
          <w:color w:val="auto"/>
        </w:rPr>
        <w:t>” means the “Form of Fundamental Change Repurchase Offer Acceptance Notice” attached as Attachment 2 to the Form of Note attached hereto as Exhibit 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5" w:lineRule="exact"/>
        <w:rPr>
          <w:sz w:val="20"/>
          <w:szCs w:val="20"/>
          <w:color w:val="auto"/>
        </w:rPr>
      </w:pPr>
    </w:p>
    <w:p>
      <w:pPr>
        <w:ind w:left="660" w:firstLine="644"/>
        <w:spacing w:after="0" w:line="262" w:lineRule="auto"/>
        <w:tabs>
          <w:tab w:leader="none" w:pos="15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within the meaning of Section 13(d) of the Exchange Act, other than the Company, its Wholly Owned Subsidiaries and the employee benefit plans of the Company and its Wholly Owned Subsidiaries has become the direct or indirect “beneficial owner,” as defined in Rule 13d-3 under the Exchange Act, of Common Equity of the Company representing more than 50% of the voting power of the Common Equity of the Company;</w:t>
      </w:r>
    </w:p>
    <w:p>
      <w:pPr>
        <w:spacing w:after="0" w:line="180" w:lineRule="exact"/>
        <w:rPr>
          <w:rFonts w:ascii="Times New Roman" w:cs="Times New Roman" w:eastAsia="Times New Roman" w:hAnsi="Times New Roman"/>
          <w:sz w:val="18"/>
          <w:szCs w:val="18"/>
          <w:color w:val="auto"/>
        </w:rPr>
      </w:pPr>
    </w:p>
    <w:p>
      <w:pPr>
        <w:ind w:left="660" w:right="60" w:firstLine="644"/>
        <w:spacing w:after="0" w:line="253" w:lineRule="auto"/>
        <w:tabs>
          <w:tab w:leader="none" w:pos="15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Common Shares (other than changes resulting from a share split or consolidation) as a result of which the Common Shares would be converted into, or exchanged for, shares, other securities, other property or assets; (B) any share exchange, consolidation, amalgamation, arrangement or merger of the Company pursuant to which the Common Shares will be converted into cash, securities or other property or assets; or (C) any sale, lease, exchange or other transfer in one transaction or a series of transactions of all or substantially all of the consolidated assets of the Company and its Subsidiaries, taken as a whole, to any Person other than one or more of the Company’s Wholly Owned Subsidiaries; provided, however, that a transaction described in clause (A) or (B) in which the holders of all classes of the Company’s Common Equity immediately prior to such transaction own, directly or indirectly, more than 50% of all classes of Common Equity of the continuing, resulting or surviving corporation or transferee or the parent thereof immediately after such transaction in substantially the same proportions as such ownership immediately prior to such transaction shall not be a Fundamental Change pursuant to this clause (b); or</w:t>
      </w:r>
    </w:p>
    <w:p>
      <w:pPr>
        <w:spacing w:after="0" w:line="19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any plan or proposal for the liquidation or dissolution of the Company;</w:t>
      </w:r>
    </w:p>
    <w:p>
      <w:pPr>
        <w:spacing w:after="0" w:line="22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90% of the consideration received or to be received by the common shareholders of the Company, excluding cash payments for fractional shares, in connection with such transaction or transactions consists of common shares that are listed or quoted on any of the TSX, the TSX Venture Exchange, the New York Stock Exchange, the NYSE American, The Nasdaq Global Select Market, the Nasdaq Global Market or the Nasdaq Capital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(subject to the provisions of Section 14.02(a)). If any transaction in which the Common Shares are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(c) of this definition, following the effective date of such transaction) references to the Company in this definition shall instead be references to such other entity.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 Acceptance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terms “given”, “mailed”, “notify” or “sent”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Definitive Note), in each case, in accordance with Section 17.03. Notice so “given” shall be deemed to include any notice to be “mailed” or “delivered,” as applicable, under this Indenture.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or “beneficial owner”), means any Person in whose name at the time a particular Note is registered on the Note Register.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shall have the meaning specified in Section 2.11(b).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Ineligible Consideration</w:t>
      </w:r>
      <w:r>
        <w:rPr>
          <w:rFonts w:ascii="Times New Roman" w:cs="Times New Roman" w:eastAsia="Times New Roman" w:hAnsi="Times New Roman"/>
          <w:sz w:val="18"/>
          <w:szCs w:val="18"/>
          <w:color w:val="auto"/>
        </w:rPr>
        <w:t>” shall have the meaning specified in Section 14.01(c).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initial purchasers listed in Schedule I of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Act (Canada)</w:t>
      </w:r>
      <w:r>
        <w:rPr>
          <w:rFonts w:ascii="Times New Roman" w:cs="Times New Roman" w:eastAsia="Times New Roman" w:hAnsi="Times New Roman"/>
          <w:sz w:val="18"/>
          <w:szCs w:val="18"/>
          <w:color w:val="auto"/>
        </w:rPr>
        <w:t>” means Interest Act (Canada),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January 15 and July 15 of each year, beginning on July 15, 2026.</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5" w:name="page16"/>
    <w:bookmarkEnd w:id="15"/>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Shares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are traded, which is initially Nasdaq. If the Common Shares are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as reported in composite transactions for the principal Canadian securities exchange on which the Common Shares are traded. If the Common Shares are not traded on any U.S. national or regional securities exchange or any Canadian securities exchange,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Shares in the over-the-counter market on the relevant date as reported by OTC Markets Group Inc. or a similar organization. If the Common Shares are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 Shares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will be determined without regard to after-hours trading or any other trading outside of regular trading-session hours. Any share price that is reported in Canadian dollars shall be deemed a reference to the amount, in U.S. dollars, into which such amount of Canadian dollars would be converted based on the most recently published daily exchange rate of the Bank of Canada on or immediately prior to the date of such share price.</w:t>
      </w:r>
    </w:p>
    <w:p>
      <w:pPr>
        <w:spacing w:after="0" w:line="187" w:lineRule="exact"/>
        <w:rPr>
          <w:sz w:val="20"/>
          <w:szCs w:val="20"/>
          <w:color w:val="auto"/>
        </w:rPr>
      </w:pPr>
    </w:p>
    <w:p>
      <w:pPr>
        <w:ind w:right="1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w:t>
      </w:r>
      <w:r>
        <w:rPr>
          <w:rFonts w:ascii="Times New Roman" w:cs="Times New Roman" w:eastAsia="Times New Roman" w:hAnsi="Times New Roman"/>
          <w:sz w:val="17"/>
          <w:szCs w:val="17"/>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 (b) of the definition thereof).</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Nasdaq (or, if the Common Shares are not then listed on Nasdaq, on the principal U.S. national or regional securities exchange on which the Common Shares are then listed, or, if the Common Shares are not then listed on any U.S. national or regional securities exchange, on the TSX or a Canadian securities exchange on which the Common Shares are then listed or, if the Common Shares are not then listed on any U.S. national or regional securities exchange or any Canadian securities exchange, on the principal other market on which the Common Shares are then traded) to open for trading during its regular trading session or (b) the occurrence or existence prior to 1:00 p.m., New York City time, on any Scheduled Trading Day for the Common Shares for more than one half-hour period in the aggregate during regular trading hours of any suspension or limitation imposed on trading (by reason of movements in price exceeding limits permitted by the relevant stock exchange or otherwise) in the Common Shares or in any options contracts or futures contracts relating to the Common Shares.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January 15, 2031.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shall have the meaning specified in Section 14.07(a).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Initial Notes and more particularly means any Note authenticated and delivered under this Indenture. For all purposes of this Indenture, the term “Notes” shall also include any Additional Notes that may be issued under a supplemental indenture and Notes to be issued or authenticated upon transfer, replacement or exchange of Notes in accordance with this Indenture.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Optional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 means a Notice of Optional Redemption or Notice of Tax Redemption,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Tax Redemption</w:t>
      </w:r>
      <w:r>
        <w:rPr>
          <w:rFonts w:ascii="Times New Roman" w:cs="Times New Roman" w:eastAsia="Times New Roman" w:hAnsi="Times New Roman"/>
          <w:sz w:val="18"/>
          <w:szCs w:val="18"/>
          <w:color w:val="auto"/>
        </w:rPr>
        <w:t>” shall have the meaning specified in Section 16.04(a).</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October 15, 2030, the 30 consecutive Trading Day period beginning on, and including, the second Trading Day immediately succeeding such Conversion Date; (ii) if the relevant Conversion Date occurs during a Redemption Period, the thirty (30) consecutive Trading Days beginning on, and including, the 31st Scheduled Trading Day immediately preceding such Redemption Date; and (iii) subject to clause (ii), if the relevant Conversion Date occurs on or after October 15, 2030, the thirty (30) consecutive Trading Days beginning on, and including, the 31st Scheduled Trading Day immediately preceding the Maturity Date.</w:t>
      </w:r>
    </w:p>
    <w:p>
      <w:pPr>
        <w:spacing w:after="0" w:line="182"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October 15, 2025, as supplemented by the related pricing term sheet dated October 16, 2025, relating to the offering and sale of the Notes.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Chief Executive Officer, the President, the Chief Financial Officer, the Corporate Secretary, the Vice President Finance and the Vice President Legal.</w:t>
      </w:r>
    </w:p>
    <w:p>
      <w:pPr>
        <w:spacing w:after="0" w:line="155"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legal officer of the Company.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59" w:lineRule="exact"/>
        <w:rPr>
          <w:sz w:val="20"/>
          <w:szCs w:val="20"/>
          <w:color w:val="auto"/>
        </w:rPr>
      </w:pPr>
    </w:p>
    <w:p>
      <w:pPr>
        <w:ind w:left="1540" w:hanging="23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ind w:left="660" w:firstLine="644"/>
        <w:spacing w:after="0" w:line="266" w:lineRule="auto"/>
        <w:tabs>
          <w:tab w:leader="none" w:pos="15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5" w:lineRule="exact"/>
        <w:rPr>
          <w:rFonts w:ascii="Times New Roman" w:cs="Times New Roman" w:eastAsia="Times New Roman" w:hAnsi="Times New Roman"/>
          <w:sz w:val="18"/>
          <w:szCs w:val="18"/>
          <w:color w:val="auto"/>
        </w:rPr>
      </w:pPr>
    </w:p>
    <w:p>
      <w:pPr>
        <w:jc w:val="both"/>
        <w:ind w:left="660" w:right="40" w:firstLine="644"/>
        <w:spacing w:after="0" w:line="266" w:lineRule="auto"/>
        <w:tabs>
          <w:tab w:leader="none" w:pos="15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Section 2.10;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8" w:name="page19"/>
    <w:bookmarkEnd w:id="18"/>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as of October 16, 2025, among the Company and Cantor Fitzgerald &amp; Co., as representative of the Initial Purchasers.</w:t>
      </w:r>
    </w:p>
    <w:p>
      <w:pPr>
        <w:spacing w:after="0" w:line="15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means, with respect to any dividend, distribution or other transaction or event in which the holders of Common Shares (or other applicable security) have the right to receive any cash, securities or other property or in which the Common Shares (or such other security) are exchanged for or converted into any combination of cash, securities or other property, the date fixed for determination of holders of the Common Shares (or such other security) entitled to receive such cash, securities or other property (whether such date is fixed by the Board of Directors, statute, contract or otherwise).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the date on which Notes are redeemed pursuant to an Optional Redemption or a Tax Redemption, as applicable.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means the date on which a Notice of Optional Redemption is delivered pursuant to Section 16.02 or the date on which a Notice of Tax Redemption is delivered pursuant to Section 16.04.</w:t>
      </w:r>
    </w:p>
    <w:p>
      <w:pPr>
        <w:spacing w:after="0" w:line="15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the period from, and including, the relevant Redemption Notice Date until the close of business on the second Scheduled Trading Day immediately preceding the related Redemption Date.</w:t>
      </w:r>
    </w:p>
    <w:p>
      <w:pPr>
        <w:spacing w:after="0" w:line="15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Section 16.01 or Section 16.03,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and the Redemption Price will be equal to 100% of the principal amount of such Notes).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January 1 or July 1 (whether or not such day is a Business Day) immediately preceding the applicable January 15 or July 15 Interest Payment Date, respectively.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shall have the meaning specified in Section 2.11(a).</w:t>
      </w:r>
    </w:p>
    <w:p>
      <w:pPr>
        <w:spacing w:after="0" w:line="225"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who customarily performs functions similar to those performed by the persons who at the time shall be such officers,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xml:space="preserve">” means a day that is scheduled to be a Trading Day on the Nasdaq or, if the Common Shares are not then listed on Nasdaq, on the principal U.S. national or regional securities exchange on which the Common Shares are then listed, or, if the Common Shares are not then listed on any U.S. national or regional securities exchange, on the TSX or a Canadian securities exchange on which the Common Shares are then listed or, if the Common Shares are not then listed on any U.S. national or regional securities exchange or any Canadian securities exchange, on the principal other market on which the Common Shares are then traded. If the Common Shares are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xml:space="preserve"> means a Business Day.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means the Canadian System for Electronic Document Analysis and Retrieval.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meets the definition of “significant subsidiary” in Article 1, Rule 1-02 of Regulation S-X.</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Shares</w:t>
      </w:r>
      <w:r>
        <w:rPr>
          <w:rFonts w:ascii="Times New Roman" w:cs="Times New Roman" w:eastAsia="Times New Roman" w:hAnsi="Times New Roman"/>
          <w:sz w:val="18"/>
          <w:szCs w:val="18"/>
          <w:color w:val="auto"/>
        </w:rPr>
        <w:t>” shall have the meaning specified in Section 14.07(c).</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Common Shares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means Income Tax Act (Canada),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 shall have the meaning specified in Section 16.03.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have the meaning specified in Section 2.11(a).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Trading</w:t>
      </w:r>
      <w:r>
        <w:rPr>
          <w:rFonts w:ascii="Times New Roman" w:cs="Times New Roman" w:eastAsia="Times New Roman" w:hAnsi="Times New Roman"/>
          <w:sz w:val="18"/>
          <w:szCs w:val="18"/>
          <w:color w:val="auto"/>
        </w:rPr>
        <w:t>” shall have occurred if the Common Shares (or other Common Equity underlying the Notes) are not listed or quoted on at least one of the following: the TSX, the TSX Venture Exchange, the New York Stock Exchange, the NYSE American, The Nasdaq Global Select Market, the Nasdaq Global Market or the Nasdaq Capital Market (or any of their respective successors).</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except for determining amounts due upon conversion as set forth below, a day on which (i) trading in the Common Shares (or other security for which a closing sale price must be determined) generally occurs on Nasdaq or, if the Common Shares (or such other security) are not then listed on Nasdaq, on the principal U.S. national or regional securities exchange on which the Common Shares are then listed, or, if the Common Shares (or such other security) are not then listed on the any U.S. national or regional securities exchange, on the TSX or any Canadian securities exchange on which the Common Shares (or such other security) are then listed or, if the Common Shares (or such other security) are not then listed on any U.S. national or regional securities exchange or any Canadian securities exchange, on the principal other market on which the Common Shares (or such other security) are then traded and (ii) a Last Reported Sale Price for the Common Shares (or closing sale price for such other security) are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Shares (or such other security) are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(x) there is no Market Disruption Event and (y) trading in the Common Shares generally occurs on Nasdaq or, if the Common Shares are not then listed on Nasdaq, on the principal U.S. national or regional securities exchange on which the Common Shares are then listed, or, if the Common Shares are not then listed on any U.S. national or regional securities exchange, on the TSX or a Canadian securities exchange on which the Common Shares are then listed, or, if the Common Shares are not then listed on any U.S. national or regional securities exchange or any Canadian securities exchange, on the principal other market on which the Common Shares are then traded, except that if the Common Shares are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$1,000,000 principal amount of Notes at approximately 3:30 p.m., New York City time, on such determination date from three independent nationally recognized securities dealers the Company selects for this purpose, which may include one or more of the Initial Purchasers;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three such bids cannot reasonably be obtained by the Bid Solicitation Agent but two such bids are obtained, then the average of the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bids shall be used, and if only one such bid can reasonably be obtained by the Bid Solicitation Agent, that one bid shall be used. If the Bid Solicitation Agent cannot reasonably obtain at least one bid for $1,000,000 principal amount of Notes from a nationally recognized securities dealer, then the Trading Price per $1,000 principal amount of Notes shall be deemed to be less than 98% of the product of the Last Reported Sale Price of the Common Shares and the Conversion Rate.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ind w:right="4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xml:space="preserve">”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xml:space="preserve">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xml:space="preserve"> shall mean or include each Person who is then a Trustee hereunder.</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Section 1.02 Other Definitions</w:t>
            </w:r>
            <w:r>
              <w:rPr>
                <w:rFonts w:ascii="Times New Roman" w:cs="Times New Roman" w:eastAsia="Times New Roman" w:hAnsi="Times New Roman"/>
                <w:sz w:val="18"/>
                <w:szCs w:val="18"/>
                <w:color w:val="auto"/>
              </w:rPr>
              <w:t>.</w:t>
            </w:r>
          </w:p>
        </w:tc>
        <w:tc>
          <w:tcPr>
            <w:tcW w:w="5500" w:type="dxa"/>
            <w:vAlign w:val="bottom"/>
          </w:tcPr>
          <w:p>
            <w:pPr>
              <w:spacing w:after="0"/>
              <w:rPr>
                <w:sz w:val="20"/>
                <w:szCs w:val="20"/>
                <w:color w:val="auto"/>
              </w:rPr>
            </w:pPr>
          </w:p>
        </w:tc>
      </w:tr>
      <w:tr>
        <w:trPr>
          <w:trHeight w:val="43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Defined in Section</w:t>
            </w:r>
          </w:p>
        </w:tc>
      </w:tr>
      <w:tr>
        <w:trPr>
          <w:trHeight w:val="34"/>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“Applicable Procedures”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1.1(a) of Appendix A</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“Definitive Notes Legend”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2.3(e) of Appendix A</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Compliance Period”</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1.1(a) of Appendix A</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Notes Legend”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2.3(e) of Appendix A</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“QIB”</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1.1(a) of Appendix A</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Notes Legend”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2.3(e) of Appendix A</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144A Global Note”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2.1(b) of Appendix A</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144A Notes”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2.1(a) of Appendix A</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904”</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1.1(a) of Appendix A</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1.03 References to Interest</w:t>
      </w:r>
      <w:r>
        <w:rPr>
          <w:rFonts w:ascii="Times New Roman" w:cs="Times New Roman" w:eastAsia="Times New Roman" w:hAnsi="Times New Roman"/>
          <w:sz w:val="18"/>
          <w:szCs w:val="18"/>
          <w:color w:val="auto"/>
        </w:rPr>
        <w:t>. Unless the context otherwise requires, any reference to interest on, or in respect of, any Note in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include Additional Interest if, in such context, Additional Interest is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21"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Section 2.01 Designation and Amount</w:t>
      </w:r>
      <w:r>
        <w:rPr>
          <w:rFonts w:ascii="Times New Roman" w:cs="Times New Roman" w:eastAsia="Times New Roman" w:hAnsi="Times New Roman"/>
          <w:sz w:val="18"/>
          <w:szCs w:val="18"/>
          <w:color w:val="auto"/>
        </w:rPr>
        <w:t>. The Notes shall be designated as the “</w:t>
      </w:r>
      <w:r>
        <w:rPr>
          <w:rFonts w:ascii="Times New Roman" w:cs="Times New Roman" w:eastAsia="Times New Roman" w:hAnsi="Times New Roman"/>
          <w:sz w:val="18"/>
          <w:szCs w:val="18"/>
          <w:b w:val="1"/>
          <w:bCs w:val="1"/>
          <w:color w:val="auto"/>
        </w:rPr>
        <w:t>1.375% Convertible Senior Notes due 2031</w:t>
      </w:r>
      <w:r>
        <w:rPr>
          <w:rFonts w:ascii="Times New Roman" w:cs="Times New Roman" w:eastAsia="Times New Roman" w:hAnsi="Times New Roman"/>
          <w:sz w:val="18"/>
          <w:szCs w:val="18"/>
          <w:color w:val="auto"/>
        </w:rPr>
        <w:t>.”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Initial Notes that may be authenticated and delivered under this Indenture is initially limited to $588,000,000, subject to Section 2.10 and except for Notes authenticated and delivered upon registration or transfer of, or in exchange for, or in lieu of other Notes to the extent expressly permitted hereunder. Other provisions relating to the Notes are set forth in Appendix A hereto, which is hereby incorporated in and expressly made a part of this Indenture.</w:t>
      </w:r>
    </w:p>
    <w:p>
      <w:pPr>
        <w:spacing w:after="0" w:line="1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2.02 Form of Notes</w:t>
      </w:r>
      <w:r>
        <w:rPr>
          <w:rFonts w:ascii="Times New Roman" w:cs="Times New Roman" w:eastAsia="Times New Roman" w:hAnsi="Times New Roman"/>
          <w:sz w:val="18"/>
          <w:szCs w:val="18"/>
          <w:color w:val="auto"/>
        </w:rPr>
        <w:t>. The Notes and the Trustee’s certificate of authentication to be borne by such Notes shall be substantially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3" w:name="page24"/>
    <w:bookmarkEnd w:id="23"/>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decreased to reflect redemptions, repurchases, cancellations, conversions, transfers or exchanges permitted hereby. Any endorsement of a Global Note to reflect the amount of any increase or decrease in the amount of outstanding Notes represented thereby shall be made by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2.03 Date and Denomination of Notes; Payments of Principal, Interest and Defaulted Amounts</w:t>
      </w:r>
      <w:r>
        <w:rPr>
          <w:rFonts w:ascii="Times New Roman" w:cs="Times New Roman" w:eastAsia="Times New Roman" w:hAnsi="Times New Roman"/>
          <w:sz w:val="18"/>
          <w:szCs w:val="18"/>
          <w:color w:val="auto"/>
        </w:rPr>
        <w:t>. (a) The Notes shall be issuable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form without coupons in denominations of $1,000 principal amount and integral multiples thereof. Each Note shall be dated the date of its authentication and shall bear cash interest from the date specified on the face of such Note or from the date on which interest has been paid or duly provided for. Interest on the Notes shall be computed on the basis of a 360-day year composed of twelve 30-day months and, for partial months, on the basis of the number of days actually elapsed in a 30-day month. Solely for the purposes of disclosure under the Interest Act (Canada), the annual rate of interest to which the rate of interest provided in the Notes is equivalent in respect of any period is the rate so determined multiplied by the actual number of days in the calendar year in which such period ends and divided by 360. The Notes shall be denominated in U.S. dollars, and all cash payments due thereon shall be made in U.S. dollars.</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Definitive Note, shall be payable at the office or agency of the Company maintained by the Company for such purposes in the contiguous United States, which shall initially be the Corporate Trust Office, or by wire transfer of immediately available funds to the U.S. Dollar account of the Holder and (y) in the case of any Global Note, shall be payable by wire transfer of immediately available funds to the account of the Depositary or its nominee. The Company shall pay, or cause the Paying Agent to pay, interest (i) on any Definitive Notes (A) to Holders holding Definitive Notes having an aggregate principal amount of $5,000,000 or less, by check mailed to the Holders of these Notes at their address as it appears in the Note Register and (B) to Holders holding Definitive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left="-8" w:right="20" w:firstLine="656"/>
        <w:spacing w:after="0" w:line="272" w:lineRule="auto"/>
        <w:tabs>
          <w:tab w:leader="none" w:pos="88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Defaulted Amounts shall forthwith cease to be payable to the Holder on the relevant payment date but shall accrue interest per annum at the rate borne by the Notes (“</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subject to the enforceability thereof under applicable law, from, and including, such relevant payment date, and such Defaulted Amounts together with such interest thereon shall be paid by the Company, at its election in each case, as provided in clause (i) or</w:t>
      </w:r>
    </w:p>
    <w:p>
      <w:pPr>
        <w:spacing w:after="0" w:line="1" w:lineRule="exact"/>
        <w:rPr>
          <w:rFonts w:ascii="Times New Roman" w:cs="Times New Roman" w:eastAsia="Times New Roman" w:hAnsi="Times New Roman"/>
          <w:sz w:val="17"/>
          <w:szCs w:val="17"/>
          <w:color w:val="auto"/>
        </w:rPr>
      </w:pPr>
    </w:p>
    <w:p>
      <w:pPr>
        <w:ind w:left="272" w:hanging="272"/>
        <w:spacing w:after="0"/>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color w:val="auto"/>
        </w:rPr>
      </w:pPr>
    </w:p>
    <w:p>
      <w:pPr>
        <w:ind w:left="652" w:right="20" w:firstLine="644"/>
        <w:spacing w:after="0" w:line="268" w:lineRule="auto"/>
        <w:tabs>
          <w:tab w:leader="none" w:pos="1512"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twenty five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fifteen (15) days and not less than ten (10) days prior to the date of the proposed payment, and not less than ten (10) days after the receipt by the Trustee of the notice of the proposed payment (unless the Trustee shall consent to an earlier date).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ten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181" w:lineRule="exact"/>
        <w:rPr>
          <w:rFonts w:ascii="Times New Roman" w:cs="Times New Roman" w:eastAsia="Times New Roman" w:hAnsi="Times New Roman"/>
          <w:sz w:val="17"/>
          <w:szCs w:val="17"/>
          <w:color w:val="auto"/>
        </w:rPr>
      </w:pPr>
    </w:p>
    <w:p>
      <w:pPr>
        <w:ind w:left="652" w:right="60" w:firstLine="644"/>
        <w:spacing w:after="0" w:line="261" w:lineRule="auto"/>
        <w:tabs>
          <w:tab w:leader="none" w:pos="156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79" w:lineRule="exact"/>
        <w:rPr>
          <w:rFonts w:ascii="Times New Roman" w:cs="Times New Roman" w:eastAsia="Times New Roman" w:hAnsi="Times New Roman"/>
          <w:sz w:val="18"/>
          <w:szCs w:val="18"/>
          <w:color w:val="auto"/>
        </w:rPr>
      </w:pPr>
    </w:p>
    <w:p>
      <w:pPr>
        <w:ind w:left="652" w:right="40" w:firstLine="644"/>
        <w:spacing w:after="0" w:line="266" w:lineRule="auto"/>
        <w:tabs>
          <w:tab w:leader="none" w:pos="161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have any responsibility to any Holder to determine the Defaulted Amounts, or with respect to the nature, extent, or calculation of the amount of Defaulted Amounts owed, or with respect to the method employed in such calculation of Defaulted Amounts.</w:t>
      </w:r>
    </w:p>
    <w:p>
      <w:pPr>
        <w:spacing w:after="0" w:line="175" w:lineRule="exact"/>
        <w:rPr>
          <w:rFonts w:ascii="Times New Roman" w:cs="Times New Roman" w:eastAsia="Times New Roman" w:hAnsi="Times New Roman"/>
          <w:sz w:val="18"/>
          <w:szCs w:val="18"/>
          <w:color w:val="auto"/>
        </w:rPr>
      </w:pPr>
    </w:p>
    <w:p>
      <w:pPr>
        <w:ind w:left="652" w:firstLine="644"/>
        <w:spacing w:after="0" w:line="261" w:lineRule="auto"/>
        <w:tabs>
          <w:tab w:leader="none" w:pos="160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any Defaulted Amounts, together with any required Default Interest, are paid to Holders in accordance with the terms of this Indenture prior to (i) the expiration of any applicable grace period with respect to the Default in the relevant payment set forth in Section 6 or (ii) if later, the delivery of any related notice of acceleration, such payment Default shall be deemed cured and the Notes shall not be subject to acceleration on account of such payment Default.</w:t>
      </w:r>
    </w:p>
    <w:p>
      <w:pPr>
        <w:spacing w:after="0" w:line="38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5" w:name="page26"/>
    <w:bookmarkEnd w:id="25"/>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2.04 Execution, Authentication and Delivery of Notes</w:t>
      </w:r>
      <w:r>
        <w:rPr>
          <w:rFonts w:ascii="Times New Roman" w:cs="Times New Roman" w:eastAsia="Times New Roman" w:hAnsi="Times New Roman"/>
          <w:sz w:val="18"/>
          <w:szCs w:val="18"/>
          <w:color w:val="auto"/>
        </w:rPr>
        <w:t>. The Notes shall be signed in the name and on behalf of the Company by the manual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facsimile of its Chief Executive Officer, the President, the Chief Financial Officer, the Corporate Secretary, the Vice President Finance or the Vice President Legal.</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the Trustee shall be entitled to receive an Officer’s Certificate and an Opinion of Counsel of the Company with respect to the issuance, authentication and delivery of such Notes by the Trustee.</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or in facsimile by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Section 2.05 Exchange and Registration of Transfer of Notes; Restrictions on Transfer; Depositary</w:t>
      </w:r>
      <w:r>
        <w:rPr>
          <w:rFonts w:ascii="Times New Roman" w:cs="Times New Roman" w:eastAsia="Times New Roman" w:hAnsi="Times New Roman"/>
          <w:sz w:val="17"/>
          <w:szCs w:val="17"/>
          <w:color w:val="auto"/>
        </w:rPr>
        <w:t>. (a) The Company shall cause to be kept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Trust Office a register (the register maintained in such office or in any other office or agency of the Company designated pursuant to Section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6" w:name="page27"/>
    <w:bookmarkEnd w:id="26"/>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or other similar governmental charge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ind w:right="80" w:firstLine="656"/>
        <w:spacing w:after="0" w:line="25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Each Global Note shall bear the Global Notes Legend as specified in Appendix A. The transfer and exchange of beneficial interests in a Global Note that does not involve the issuance of a Definitive Note shall be effected through the Depositary (but not the Trustee) in accordance with this Indenture (including the restrictions on transfer set forth herein) and the procedures of the Depositary therefor. The transfer and exchange of beneficial interests among Global Notes shall be effected in accordance with Appendix 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80" w:firstLine="656"/>
        <w:spacing w:after="0" w:line="256" w:lineRule="auto"/>
        <w:tabs>
          <w:tab w:leader="none" w:pos="8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Appendix A to bear a Restricted Securities Legend (together with any Common Shares issued upon conversion of the Notes that are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shall be subject to the restrictions on transfer set forth in this Section 2.05(c) (including the applicable Restricted Securities Legend),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encompasses any sale, pledge, transfer or other disposition whatsoever of any Restricted Security.</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2.05(c) and Appendix A),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Definitive Notes in accordance with the second immediately succeeding paragraph.</w:t>
      </w:r>
    </w:p>
    <w:p>
      <w:pPr>
        <w:spacing w:after="0" w:line="183"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DTC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ninety (90) days, (ii) the Depositary ceases to be registered as a clearing agency under the Exchange Act and a successor depositary is not appointed within ninety (90) days or (iii) an Event of Default with respect to the Notes has occurred and is continuing and, subject to the applicable procedures of the Depositary, a beneficial owner of any Note requests that its beneficial interest therein be issued as a Definitive Note, the Company shall execute, and the Trustee, upon receipt of an Officer’s Certificate and a Company Order for the authentication and delivery of Notes, shall authenticate and deliver (x) in the case of clause (iii), a Definitive Note to such beneficial owner in a principal amount equal to the principal amount of such Note corresponding to such beneficial owner’s beneficial interest and (y) in the case of clause (i) or (ii), Definitive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 In connection with any such issuance of a Definitive Note, there shall be provided to the Trustee all information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Definitive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(either directly, if it is a Participant, or indirectly through its Participant, if it is not a Participant) the Trustee. Upon execution and authentication, the Trustee shall deliver such Definitive Notes to the Persons in whose names such Definitive Notes are so registered.</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Definitive Notes, transferred in exchange for an interest in another Global Note, converted, canceled, repurchased upon a Fundamental Change, redeemed or transferred to a transferee who receives Definitive Notes therefor or any Definitive Note is exchanged or transferred for part of such Global Note, the principal amount of such Global Note shall, in accordance with the standing procedures and instructions existing between the Depositary and the Custodian, be appropriately increased or decreased, as the case may be, and an endorsement shall be made on such Global Note, by the Trustee, to reflect such increase or decrease.</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None of the Company, the Trustee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such beneficial ownership those interests. All notices and communications to be given to the Holders and all payments to be made to Holders in respect of the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any beneficial owners.</w:t>
      </w:r>
    </w:p>
    <w:p>
      <w:pPr>
        <w:spacing w:after="0" w:line="19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Trustee, Paying Agent, Registrar and any transfer agent shall have no obligation or duty to monitor, determine or inquire as to compliance with any restrictions on transfer or exchange imposed under this Indenture or under applicable law with respect to any transfer or exchange of any interest in any Note (including any transfers between or among participants or other beneficial owners of interests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Any Common Shares issued upon conversion of a Note shall bear a legend as specified in Appendix 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40" w:firstLine="656"/>
        <w:spacing w:after="0" w:line="256" w:lineRule="auto"/>
        <w:tabs>
          <w:tab w:leader="none" w:pos="8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Common Shares issued upon the conversion or exchange of a Note that is repurchased or owned by any Affiliate of the Company (or any Person who was an Affiliate of the Company at any time during the three (3)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Common Shares, as the case may be, no longer being a “restricted security” (as defined under Rule 144). The Company shall cause any Note that is repurchased or owned by it to be surrendered to the Trustee for cancellation in accordance with Section 2.08.</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2.06 Mutilated, Destroyed, Lost or Stolen Notes</w:t>
      </w:r>
      <w:r>
        <w:rPr>
          <w:rFonts w:ascii="Times New Roman" w:cs="Times New Roman" w:eastAsia="Times New Roman" w:hAnsi="Times New Roman"/>
          <w:sz w:val="18"/>
          <w:szCs w:val="18"/>
          <w:color w:val="auto"/>
        </w:rPr>
        <w:t>. In case any Note shall become mutilated or be destroyed, lost or stolen,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or other similar governmental charge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redemption,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2.07 Temporary Notes</w:t>
      </w:r>
      <w:r>
        <w:rPr>
          <w:rFonts w:ascii="Times New Roman" w:cs="Times New Roman" w:eastAsia="Times New Roman" w:hAnsi="Times New Roman"/>
          <w:sz w:val="18"/>
          <w:szCs w:val="18"/>
          <w:color w:val="auto"/>
        </w:rPr>
        <w:t>. Pending the preparation of Definitive Notes, the Company may execute and the Trustee or an authenticating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the Trustee shall, upon written request of the Company, authenticate and deliver temporary Notes (printed or lithographed). Temporary Notes shall be issuable in any authorized denomination, and substantially in the form of the Definitive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Definitive Notes. Without unreasonable delay, the Company shall execute and deliver to the Trustee or such authenticating agent Definitive Notes (other than any Global Note) and thereupon any or all temporary Notes (other than any Global Note) may be surrendered in exchange therefor, at each office or agency maintained by the Company pursuant to Section 4.02 and the Trustee or such authenticating agent shall, upon the written request of the Company, authenticate and deliver in exchange for such temporary Notes an equal aggregate principal amount of Definitive Notes. Such exchange shall be made by the Company at its own expense and without any charge therefor. Until so exchanged, the temporary Notes shall in all respects be entitled to the same benefits and subject to the same limitations under this Indenture as Definitive Notes authenticated and delivered hereunder.</w:t>
      </w:r>
    </w:p>
    <w:p>
      <w:pPr>
        <w:spacing w:after="0" w:line="1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2.08 Cancellation of Notes Paid, Converted, Etc. </w:t>
      </w:r>
      <w:r>
        <w:rPr>
          <w:rFonts w:ascii="Times New Roman" w:cs="Times New Roman" w:eastAsia="Times New Roman" w:hAnsi="Times New Roman"/>
          <w:sz w:val="18"/>
          <w:szCs w:val="18"/>
          <w:color w:val="auto"/>
        </w:rPr>
        <w:t>The Company shall cause all Notes surrendered for the purpose of payment at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upon a Fundamental Change, redemption, registration of transfer or exchange or conversion, if surrendered to the Company or any of its agents or Subsidiaries, to be surrendered to the Trustee for cancellation. All Notes delivered to the Trustee shall be canceled promptly by it upon the Company’s instruction and in accordance with its customary procedures, and will no longer be considered outstanding upon their repurchase, redemption, registration of transfer or exchange or conversion, as applicable.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2.09 CUSIP Numbers</w:t>
      </w:r>
      <w:r>
        <w:rPr>
          <w:rFonts w:ascii="Times New Roman" w:cs="Times New Roman" w:eastAsia="Times New Roman" w:hAnsi="Times New Roman"/>
          <w:sz w:val="18"/>
          <w:szCs w:val="18"/>
          <w:color w:val="auto"/>
        </w:rPr>
        <w:t>. The Company in issuing the Notes may use “CUSIP” numbers (if then generally in use), and, if so, the Trustee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right="4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Section 2.10 Additional Notes; Repurchases</w:t>
      </w:r>
      <w:r>
        <w:rPr>
          <w:rFonts w:ascii="Times New Roman" w:cs="Times New Roman" w:eastAsia="Times New Roman" w:hAnsi="Times New Roman"/>
          <w:sz w:val="18"/>
          <w:szCs w:val="18"/>
          <w:color w:val="auto"/>
        </w:rPr>
        <w:t>. The Company may, without the consent of, or notice to, the Holders and notwithstanding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 reopen this Indenture and issue additional Notes hereunder with the same terms as the Notes initially issued hereunder (other than differences in the issue date, the issue price, interest accrued prior to the issue date of, and restrictions on transfer in respect of, such additional Notes and, if applicable, restrictions on transfer in respect of such additional Notes) in an unlimited aggregate principal amount (such additional Notes,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such Additional Notes are not fungible with the Notes initially issued hereunder for U.S. federal income tax or securities law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offer to repurchase Notes in the open market or otherwise, whether by the Company or its Subsidiaries or through a private or public tender or exchange offer or through counterparties to private agreements, including by cash-settled swaps or other derivatives, in each case, without prior notice to the Holders. The Company may, at its option and to the extent permitted by applicable law, reissue, resell or surrender to the Trustee for cancellation any Notes that the Company may repurchase, in the case of a reissuance or resale, so long as such Notes do not constitute restricted securities upon such reissuance or resale; provided that if any such reissued or resold Notes are not fungible with the Notes initially offered hereby for U.S. federal income tax or securities law purposes, such reissued or resold notes will have one or more separate CUSIP numbers.</w:t>
      </w:r>
    </w:p>
    <w:p>
      <w:pPr>
        <w:spacing w:after="0" w:line="19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2.11 Additional Amounts</w:t>
      </w:r>
      <w:r>
        <w:rPr>
          <w:rFonts w:ascii="Times New Roman" w:cs="Times New Roman" w:eastAsia="Times New Roman" w:hAnsi="Times New Roman"/>
          <w:sz w:val="18"/>
          <w:szCs w:val="18"/>
          <w:color w:val="auto"/>
        </w:rPr>
        <w:t>. (a) All payments or deliveries (whether upon conversion, repurchase, redemption, maturity or otherwise,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in cash, Common Shares, Reference Property or otherwise) made by or on behalf of the Company under or with respect to the Notes are required to be made free and clear of and without withholding or deduction for or on account of any present or future tax, duty, levy, impost, assessment or other governmental charge (including penalties, interest and other liabilities related thereto) (hereinafter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imposed or levied by or on behalf of the government of Canada, any province or territory of Canada or any political subdivision or any authority or agency therein or thereof having power to tax (each, a “</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unless such Person is required to withhold or deduct Taxes by law or by the interpretation or administration thereof.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2" w:name="page33"/>
    <w:bookmarkEnd w:id="32"/>
    <w:p>
      <w:pPr>
        <w:ind w:left="-20" w:right="20" w:firstLine="656"/>
        <w:spacing w:after="0" w:line="258" w:lineRule="auto"/>
        <w:tabs>
          <w:tab w:leader="none" w:pos="8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so required to withhold or deduct any amount for or on account of Taxes imposed by a Relevant Taxing Jurisdiction from any payment or delivery made under or with respect to the Notes, the Company shall be required to pay such additional amounts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as may be necessary so that the net amount received by a Holder or beneficial owner of Notes (including Additional Amounts) after such withholding or deduction will not be less than the amount such Holder or beneficial owner of Notes would have received if such Taxes (including Taxes on any Additional Amounts) had not been withheld or deducted;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obligations to pay Additional Amounts do not apply to:</w:t>
      </w:r>
    </w:p>
    <w:p>
      <w:pPr>
        <w:spacing w:after="0" w:line="183" w:lineRule="exact"/>
        <w:rPr>
          <w:rFonts w:ascii="Times New Roman" w:cs="Times New Roman" w:eastAsia="Times New Roman" w:hAnsi="Times New Roman"/>
          <w:sz w:val="18"/>
          <w:szCs w:val="18"/>
          <w:color w:val="auto"/>
        </w:rPr>
      </w:pPr>
    </w:p>
    <w:p>
      <w:pPr>
        <w:ind w:left="640" w:right="40" w:firstLine="644"/>
        <w:spacing w:after="0" w:line="261" w:lineRule="auto"/>
        <w:tabs>
          <w:tab w:leader="none" w:pos="15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to a Holder or beneficial owner of Notes by reason of the Company not dealing at arm’s length (within the meaning of the Tax Act) with such Holder or beneficial owner of Notes at the time of the payment or by reason of such payment being in respect of a debt or other obligation to pay an amount to a person with whom the Company does not deal at arm’s length (within the meaning of the Tax Act) at the time of the payment;</w:t>
      </w:r>
    </w:p>
    <w:p>
      <w:pPr>
        <w:spacing w:after="0" w:line="179" w:lineRule="exact"/>
        <w:rPr>
          <w:rFonts w:ascii="Times New Roman" w:cs="Times New Roman" w:eastAsia="Times New Roman" w:hAnsi="Times New Roman"/>
          <w:sz w:val="18"/>
          <w:szCs w:val="18"/>
          <w:color w:val="auto"/>
        </w:rPr>
      </w:pPr>
    </w:p>
    <w:p>
      <w:pPr>
        <w:ind w:left="640" w:right="200" w:firstLine="644"/>
        <w:spacing w:after="0" w:line="266" w:lineRule="auto"/>
        <w:tabs>
          <w:tab w:leader="none" w:pos="15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to a Holder or beneficial owner of Notes by reason of such Holder or beneficial owner being a “specified shareholder” of the Company (as defined in subsection 18(5) of the Tax Act) or by reason of such Holder or beneficial owner not dealing at arm’s length with a “specified shareholder” of the Company;</w:t>
      </w:r>
    </w:p>
    <w:p>
      <w:pPr>
        <w:spacing w:after="0" w:line="175" w:lineRule="exact"/>
        <w:rPr>
          <w:rFonts w:ascii="Times New Roman" w:cs="Times New Roman" w:eastAsia="Times New Roman" w:hAnsi="Times New Roman"/>
          <w:sz w:val="18"/>
          <w:szCs w:val="18"/>
          <w:color w:val="auto"/>
        </w:rPr>
      </w:pPr>
    </w:p>
    <w:p>
      <w:pPr>
        <w:ind w:left="640" w:right="560" w:firstLine="644"/>
        <w:spacing w:after="0" w:line="282" w:lineRule="auto"/>
        <w:tabs>
          <w:tab w:leader="none" w:pos="16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to a Holder or beneficial owner of Notes by reason of such Holder or beneficial owner being an entity in respect of which the Company is a “specified entity” (as defined in the Tax Act);</w:t>
      </w:r>
    </w:p>
    <w:p>
      <w:pPr>
        <w:spacing w:after="0" w:line="161" w:lineRule="exact"/>
        <w:rPr>
          <w:rFonts w:ascii="Times New Roman" w:cs="Times New Roman" w:eastAsia="Times New Roman" w:hAnsi="Times New Roman"/>
          <w:sz w:val="18"/>
          <w:szCs w:val="18"/>
          <w:color w:val="auto"/>
        </w:rPr>
      </w:pPr>
    </w:p>
    <w:p>
      <w:pPr>
        <w:ind w:left="640" w:firstLine="644"/>
        <w:spacing w:after="0" w:line="254" w:lineRule="auto"/>
        <w:tabs>
          <w:tab w:leader="none" w:pos="15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to a Holder, former Holder or beneficial owner of Notes by reason of such Holder’s, former Holder’s or beneficial owner’s failure to comply with any certification, identification, information, documentation or other reporting requirement if compliance is required by law, regulation, administrative practice or an applicable treaty as a precondition to exemption from, or a reduction in the rate of deduction or withholding of, such Taxes (provided that in the case of any imposition or change in any such certification, identification, information, documentation or other reporting requirement which applies to Holders, former Holders or beneficial owners of Notes who are not residents of Canada, at least sixty (60) days prior to the effective date of any such imposition or change, the Company shall give written notice, in the manner provided for in this Indenture, to the Trustee and the applicable Holders then outstanding of such imposition or change, as the case may be, and provide the Trustee and such Holders with such forms or documentation, if any, as may be required to comply with such certification, identification, information, documentation, or other reporting requirement);</w:t>
      </w:r>
    </w:p>
    <w:p>
      <w:pPr>
        <w:spacing w:after="0" w:line="188" w:lineRule="exact"/>
        <w:rPr>
          <w:rFonts w:ascii="Times New Roman" w:cs="Times New Roman" w:eastAsia="Times New Roman" w:hAnsi="Times New Roman"/>
          <w:sz w:val="18"/>
          <w:szCs w:val="18"/>
          <w:color w:val="auto"/>
        </w:rPr>
      </w:pPr>
    </w:p>
    <w:p>
      <w:pPr>
        <w:ind w:left="640" w:right="20" w:firstLine="644"/>
        <w:spacing w:after="0" w:line="256" w:lineRule="auto"/>
        <w:tabs>
          <w:tab w:leader="none" w:pos="15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beneficial owner of Notes and the Relevant Taxing Jurisdiction including, for greater certainty and without limitation, being or having been a citizen, resident or national thereof, or being or having been present or engaged in a trade or business therein or maintaining a permanent establishment or other physical presence in or otherwise having some connection with the Relevant Taxing Jurisdiction (other than a connection from the mere acquisition, ownership or holding of such Note or a beneficial interest therein or the enforcement of rights thereunder or the receipt of any payment in respect thereof); or</w:t>
      </w:r>
    </w:p>
    <w:p>
      <w:pPr>
        <w:spacing w:after="0" w:line="187" w:lineRule="exact"/>
        <w:rPr>
          <w:rFonts w:ascii="Times New Roman" w:cs="Times New Roman" w:eastAsia="Times New Roman" w:hAnsi="Times New Roman"/>
          <w:sz w:val="18"/>
          <w:szCs w:val="18"/>
          <w:color w:val="auto"/>
        </w:rPr>
      </w:pPr>
    </w:p>
    <w:p>
      <w:pPr>
        <w:ind w:left="640" w:right="380" w:firstLine="644"/>
        <w:spacing w:after="0" w:line="266" w:lineRule="auto"/>
        <w:tabs>
          <w:tab w:leader="none" w:pos="15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tax or similar tax, assessment or governmental charge, (any Taxes imposed by a Relevant Taxing Jurisdiction that are not excluded pursuant to any of the above clauses are referred to as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3" w:name="page34"/>
    <w:bookmarkEnd w:id="33"/>
    <w:p>
      <w:pPr>
        <w:ind w:left="-40" w:right="140" w:firstLine="656"/>
        <w:spacing w:after="0" w:line="261" w:lineRule="auto"/>
        <w:tabs>
          <w:tab w:leader="none" w:pos="8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any required withholding or deduction and remit the full amount deducted or withheld to the Relevant Taxing Jurisdiction in accordance with applicable law. Upon request, the Company shall provide the Trustee on behalf of Holders and beneficial owners of Notes (and the Trustee shall forthwith provide Holders) with official receipts or other documentation evidencing the payment of the Taxes with respect to which Additional Amounts are paid.</w:t>
      </w:r>
    </w:p>
    <w:p>
      <w:pPr>
        <w:spacing w:after="0" w:line="179" w:lineRule="exact"/>
        <w:rPr>
          <w:rFonts w:ascii="Times New Roman" w:cs="Times New Roman" w:eastAsia="Times New Roman" w:hAnsi="Times New Roman"/>
          <w:sz w:val="18"/>
          <w:szCs w:val="18"/>
          <w:color w:val="auto"/>
        </w:rPr>
      </w:pPr>
    </w:p>
    <w:p>
      <w:pPr>
        <w:ind w:left="-40" w:firstLine="656"/>
        <w:spacing w:after="0" w:line="258"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or will become obligated to pay Additional Amounts under or with respect to any payment or delivery made on the Notes, at least thirty (30) Scheduled Trading Days prior to the date of such payment (unless such obligation to pay Additional Amounts arises after the 30th Scheduled Trading Day prior to such date, in which case it shall be promptly thereafter), the Company shall deliver to the Trustee and the Paying Agent (if other than the Trustee) an officer’s certificate stating the fact that Additional Amounts will be payable and the amount so payable and such other information necessary to enable the Paying Agent to pay Additional Amounts to Holders or beneficial owners on the relevant payment date.</w:t>
      </w:r>
    </w:p>
    <w:p>
      <w:pPr>
        <w:spacing w:after="0" w:line="183" w:lineRule="exact"/>
        <w:rPr>
          <w:rFonts w:ascii="Times New Roman" w:cs="Times New Roman" w:eastAsia="Times New Roman" w:hAnsi="Times New Roman"/>
          <w:sz w:val="18"/>
          <w:szCs w:val="18"/>
          <w:color w:val="auto"/>
        </w:rPr>
      </w:pPr>
    </w:p>
    <w:p>
      <w:pPr>
        <w:ind w:left="-40" w:right="200" w:firstLine="656"/>
        <w:spacing w:after="0" w:line="258" w:lineRule="auto"/>
        <w:tabs>
          <w:tab w:leader="none" w:pos="8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this Indenture there is mentioned in any context: (i) the payment of principal; (ii) Redemption Price in connection with an Optional Redemption or Tax Redemption of Notes; (iii) Fundamental Change Repurchase Price in connection with a repurchase of Notes upon a Fundamental Change; (iv) interest; or (v) any other deliveries or amounts payable on or with respect to any of the Notes (including deliveries or amounts payable on conversion), such reference shall be deemed to include payment of Additional Amounts provided for in this Section 2.11 to the extent that, in such context, Additional Amounts are payable in respect thereof.</w:t>
      </w:r>
    </w:p>
    <w:p>
      <w:pPr>
        <w:spacing w:after="0" w:line="183" w:lineRule="exact"/>
        <w:rPr>
          <w:rFonts w:ascii="Times New Roman" w:cs="Times New Roman" w:eastAsia="Times New Roman" w:hAnsi="Times New Roman"/>
          <w:sz w:val="18"/>
          <w:szCs w:val="18"/>
          <w:color w:val="auto"/>
        </w:rPr>
      </w:pPr>
    </w:p>
    <w:p>
      <w:pPr>
        <w:ind w:left="-40" w:right="20" w:firstLine="656"/>
        <w:spacing w:after="0" w:line="258" w:lineRule="auto"/>
        <w:tabs>
          <w:tab w:leader="none" w:pos="8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a Holder or beneficial owner of the Notes for the amount of any Indemnified Taxes payable pursuant to Regulation 803 of the Income Tax Regulations (Canada) levied or imposed and paid by such Holder or beneficial owner as a result of payments made under or with respect to the Notes, any liability (including penalties, interest, additions to tax and expenses) arising therefrom or with respect thereto, and any such Indemnified Taxes levied or imposed and paid by such Holder or beneficial owner of the Notes with respect to any reimbursement under this paragraph.</w:t>
      </w:r>
    </w:p>
    <w:p>
      <w:pPr>
        <w:spacing w:after="0" w:line="183" w:lineRule="exact"/>
        <w:rPr>
          <w:rFonts w:ascii="Times New Roman" w:cs="Times New Roman" w:eastAsia="Times New Roman" w:hAnsi="Times New Roman"/>
          <w:sz w:val="18"/>
          <w:szCs w:val="18"/>
          <w:color w:val="auto"/>
        </w:rPr>
      </w:pPr>
    </w:p>
    <w:p>
      <w:pPr>
        <w:ind w:left="-40" w:right="60" w:firstLine="656"/>
        <w:spacing w:after="0" w:line="258"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any present or future stamp, court or documentary taxes or any other excise, property or similar Taxes, charges or levies that arise in any Relevant Taxing Jurisdiction from the execution, delivery, enforcement or registration of the Notes, this Indenture or any other document or instrument in relation thereof, or the receipt of any payments with respect to the Notes and the Company shall agree to indemnify the Holders and beneficial owners of Notes for any such amounts (including penalties, interest and other liabilities related thereto) paid by such Holders or beneficial owners.</w:t>
      </w:r>
    </w:p>
    <w:p>
      <w:pPr>
        <w:spacing w:after="0" w:line="183" w:lineRule="exact"/>
        <w:rPr>
          <w:rFonts w:ascii="Times New Roman" w:cs="Times New Roman" w:eastAsia="Times New Roman" w:hAnsi="Times New Roman"/>
          <w:sz w:val="18"/>
          <w:szCs w:val="18"/>
          <w:color w:val="auto"/>
        </w:rPr>
      </w:pPr>
    </w:p>
    <w:p>
      <w:pPr>
        <w:ind w:left="860" w:hanging="244"/>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described in this Section 2.11 will survive any termination or discharge of this Indenture.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22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3.01 Satisfaction and Discharge</w:t>
      </w:r>
      <w:r>
        <w:rPr>
          <w:rFonts w:ascii="Times New Roman" w:cs="Times New Roman" w:eastAsia="Times New Roman" w:hAnsi="Times New Roman"/>
          <w:sz w:val="18"/>
          <w:szCs w:val="18"/>
          <w:color w:val="auto"/>
        </w:rPr>
        <w:t>. This Indenture and the Notes shall upon request of the Company contained in an Officer’s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cease to be of further effect, and the Trustee, at the written request and expense of the Company, shall execute proper instruments acknowledging satisfaction and discharge of this Indenture,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Common Shares or a combination thereof, as applicable, solely to satisfy the Company’s Conversion Obligation, sufficient to pay all of the outstanding Notes and all other sums due and payable under this Indenture or the Notes by the Company; and (b)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to the Trustee under Section 7.06 shall survive.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4.01 Payment of Principal and Interest</w:t>
      </w:r>
      <w:r>
        <w:rPr>
          <w:rFonts w:ascii="Times New Roman" w:cs="Times New Roman" w:eastAsia="Times New Roman" w:hAnsi="Times New Roman"/>
          <w:sz w:val="18"/>
          <w:szCs w:val="18"/>
          <w:color w:val="auto"/>
        </w:rPr>
        <w:t>. The Company covenants and agrees that it will cause to be paid the principal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and the Fundamental Change Repurchase Price, if applicable) of, and accrued and unpaid interest on, each of the Notes at the places, at the respective times and in the manner provided herein and in the Notes.</w:t>
      </w:r>
    </w:p>
    <w:p>
      <w:pPr>
        <w:spacing w:after="0" w:line="17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4.02 Maintenance of Office or Agency</w:t>
      </w:r>
      <w:r>
        <w:rPr>
          <w:rFonts w:ascii="Times New Roman" w:cs="Times New Roman" w:eastAsia="Times New Roman" w:hAnsi="Times New Roman"/>
          <w:sz w:val="18"/>
          <w:szCs w:val="18"/>
          <w:color w:val="auto"/>
        </w:rPr>
        <w:t>. The Company will maintain in the Borough of Manhattan, the City of New York, an office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where Notes may be surrendered for registration of transfer or exchange or for presentation for payment or repurchase or for conversion and where notices and demands to or upon the Company in respect of the Notes and this Indenture may be served. The Corporate Trust Office shall not be a place for service of legal process for the Company.</w:t>
      </w:r>
    </w:p>
    <w:p>
      <w:pPr>
        <w:spacing w:after="0" w:line="178"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4.03 Appointments to Fill Vacancies in Trustee’s Office</w:t>
      </w:r>
      <w:r>
        <w:rPr>
          <w:rFonts w:ascii="Times New Roman" w:cs="Times New Roman" w:eastAsia="Times New Roman" w:hAnsi="Times New Roman"/>
          <w:sz w:val="18"/>
          <w:szCs w:val="18"/>
          <w:color w:val="auto"/>
        </w:rPr>
        <w:t>. The Company, whenever necessary to avoid or fill a vacancy in the offices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will appoint, in the manner provided in Section 7.09, a Trustee, so that there shall at all times be a Trustee hereunder (and, if required by Canadian securities laws or by Canadian corporate law, a Canadian trustee hereunder).</w:t>
      </w:r>
    </w:p>
    <w:p>
      <w:pPr>
        <w:spacing w:after="0" w:line="17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4.04 Provisions as to Paying Agent</w:t>
      </w:r>
      <w:r>
        <w:rPr>
          <w:rFonts w:ascii="Times New Roman" w:cs="Times New Roman" w:eastAsia="Times New Roman" w:hAnsi="Times New Roman"/>
          <w:sz w:val="18"/>
          <w:szCs w:val="18"/>
          <w:color w:val="auto"/>
        </w:rPr>
        <w:t>. (a) If the Company shall appoint a Paying Agent other than the Trustee, the Company will cause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to execute and deliver to the Trustee an instrument in which such agent shall agree with the Trustee, subject to the provisions of this Section 4.04:</w:t>
      </w:r>
    </w:p>
    <w:p>
      <w:pPr>
        <w:spacing w:after="0" w:line="175" w:lineRule="exact"/>
        <w:rPr>
          <w:sz w:val="20"/>
          <w:szCs w:val="20"/>
          <w:color w:val="auto"/>
        </w:rPr>
      </w:pPr>
    </w:p>
    <w:p>
      <w:pPr>
        <w:ind w:left="660" w:right="260" w:firstLine="644"/>
        <w:spacing w:after="0" w:line="266" w:lineRule="auto"/>
        <w:tabs>
          <w:tab w:leader="none" w:pos="15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 of the Notes;</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66" w:lineRule="auto"/>
        <w:tabs>
          <w:tab w:leader="none" w:pos="15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75" w:lineRule="exact"/>
        <w:rPr>
          <w:rFonts w:ascii="Times New Roman" w:cs="Times New Roman" w:eastAsia="Times New Roman" w:hAnsi="Times New Roman"/>
          <w:sz w:val="18"/>
          <w:szCs w:val="18"/>
          <w:color w:val="auto"/>
        </w:rPr>
      </w:pPr>
    </w:p>
    <w:p>
      <w:pPr>
        <w:ind w:left="660" w:right="320" w:firstLine="644"/>
        <w:spacing w:after="0" w:line="282" w:lineRule="auto"/>
        <w:tabs>
          <w:tab w:leader="none" w:pos="16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ind w:right="40" w:firstLine="656"/>
        <w:spacing w:after="0" w:line="256"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656"/>
        <w:spacing w:after="0" w:line="256"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Section 6.01(h) or Section 6.01(i), the Trustee shall automatically become the Paying Agent.</w:t>
      </w:r>
    </w:p>
    <w:p>
      <w:pPr>
        <w:spacing w:after="0" w:line="187" w:lineRule="exact"/>
        <w:rPr>
          <w:rFonts w:ascii="Times New Roman" w:cs="Times New Roman" w:eastAsia="Times New Roman" w:hAnsi="Times New Roman"/>
          <w:sz w:val="18"/>
          <w:szCs w:val="18"/>
          <w:color w:val="auto"/>
        </w:rPr>
      </w:pPr>
    </w:p>
    <w:p>
      <w:pPr>
        <w:ind w:right="140" w:firstLine="656"/>
        <w:spacing w:after="0" w:line="255"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Common Shares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(2)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Common Shares.</w:t>
      </w:r>
    </w:p>
    <w:p>
      <w:pPr>
        <w:spacing w:after="0" w:line="187"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4.05 Existence</w:t>
      </w:r>
      <w:r>
        <w:rPr>
          <w:rFonts w:ascii="Times New Roman" w:cs="Times New Roman" w:eastAsia="Times New Roman" w:hAnsi="Times New Roman"/>
          <w:sz w:val="18"/>
          <w:szCs w:val="18"/>
          <w:color w:val="auto"/>
        </w:rPr>
        <w:t>. Subject to Article 11, the Company shall do or cause to be done all things necessary to preserve and keep in full force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its corporate existence.</w:t>
      </w:r>
    </w:p>
    <w:p>
      <w:pPr>
        <w:spacing w:after="0" w:line="15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4.06 Rule 144A Information Requirement and Annual Reports</w:t>
      </w:r>
      <w:r>
        <w:rPr>
          <w:rFonts w:ascii="Times New Roman" w:cs="Times New Roman" w:eastAsia="Times New Roman" w:hAnsi="Times New Roman"/>
          <w:sz w:val="18"/>
          <w:szCs w:val="18"/>
          <w:color w:val="auto"/>
        </w:rPr>
        <w:t>. (a) At any time the Company is not subject to Section 13 or 15(d)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not exempt from reporting pursuant to Rule 12g3-2(b) under the Exchange Act, the Company shall, so long as any of the Notes or any Common Shares issuable upon conversion thereof shall, at such time, constitute “restricted securities” within the meaning of Rule 144(a)(3) under the Securities Act, upon written request, provide to any Holder, beneficial owner or prospective purchaser of such Notes or any Common Shares issuable upon conversion of such Notes, the information required to be delivered pursuant to Rule 144A(d)(4) under the Securities Act to facilitate the resale of such Notes or Common Shares pursuant to Rule 144A. The Company shall take such further action as any Holder or beneficial owner of an interest in such Notes may reasonably request to the extent from time to time required to enable such Holder or beneficial owner to sell such Notes or the Common Shares in accordance with Rule 144A.</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100" w:firstLine="656"/>
        <w:spacing w:after="0" w:line="25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thirty (30) days after the same are required to be filed with the Commission (giving effect to any grace period provided by Rule 12b-25 under the Exchange Act), copies of any documents or reports that the Company is required to file with the Commission pursuant to Section 13 or 15(d) of the Exchange Act. Any such document that the Company files with the Commission via the Commission’s EDGAR system (or any successor system) or that the Company files with the Canadian securities regulatory authorities via SEDAR+ (or any successor system) shall be deemed to be filed with the Trustee for purposes of this Section 4.06(b) at the time such documents are filed via the EDGAR or SEDAR+ (or such respective successor), as applicable, it being understood that the Trustee shall not be responsible for determining whether such filings have been made.</w:t>
      </w:r>
    </w:p>
    <w:p>
      <w:pPr>
        <w:spacing w:after="0" w:line="188" w:lineRule="exact"/>
        <w:rPr>
          <w:rFonts w:ascii="Times New Roman" w:cs="Times New Roman" w:eastAsia="Times New Roman" w:hAnsi="Times New Roman"/>
          <w:sz w:val="18"/>
          <w:szCs w:val="18"/>
          <w:color w:val="auto"/>
        </w:rPr>
      </w:pPr>
    </w:p>
    <w:p>
      <w:pPr>
        <w:ind w:right="40" w:firstLine="656"/>
        <w:spacing w:after="0" w:line="256" w:lineRule="auto"/>
        <w:tabs>
          <w:tab w:leader="none" w:pos="8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 The Trustee shall not be obligated to monitor or confirm, on a continuing basis or otherwise, the compliance of the Company with the covenants or with respect to any reports or other documents filed with via EDGAR, SEDAR+ or any website under this Indenture, or to participate in any conference calls.</w:t>
      </w:r>
    </w:p>
    <w:p>
      <w:pPr>
        <w:spacing w:after="0" w:line="187" w:lineRule="exact"/>
        <w:rPr>
          <w:rFonts w:ascii="Times New Roman" w:cs="Times New Roman" w:eastAsia="Times New Roman" w:hAnsi="Times New Roman"/>
          <w:sz w:val="18"/>
          <w:szCs w:val="18"/>
          <w:color w:val="auto"/>
        </w:rPr>
      </w:pPr>
    </w:p>
    <w:p>
      <w:pPr>
        <w:ind w:right="80" w:firstLine="656"/>
        <w:spacing w:after="0" w:line="253"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beginning on, and including, the date that is six (6) months after the last date of original issuance of the Initial Notes (including any Notes issued pursuant to the Initial Purchasers’ option to purchase additional Notes as set forth in the Purchase Agreement), the Initial Notes are not freely tradable pursuant to Rule 144 by Holders other than the Company’s Affiliates or Holders that were the Company’s Affiliates at any time during the three (3)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the Notes are not freely tradable pursuant to Rule 144 by Holders other than the Company’s Affiliates (or Holders that were the Company’s Affiliates at any time during the three (3) months immediately preceding). For purposes of this Section 4.06(d) (but, for the avoidance of doubt, not for purposes of Section 4.06(e)), the fact that the U.S. Restricted Securities Legend has not been removed (or deemed removed pursuant to this Indenture) from the Notes and/or the Notes are assigned a restricted CUSIP number, shall not mean that the Notes are not freely tradable pursuant to Rule 144.</w:t>
      </w:r>
    </w:p>
    <w:p>
      <w:pPr>
        <w:spacing w:after="0" w:line="194" w:lineRule="exact"/>
        <w:rPr>
          <w:rFonts w:ascii="Times New Roman" w:cs="Times New Roman" w:eastAsia="Times New Roman" w:hAnsi="Times New Roman"/>
          <w:sz w:val="18"/>
          <w:szCs w:val="18"/>
          <w:color w:val="auto"/>
        </w:rPr>
      </w:pPr>
    </w:p>
    <w:p>
      <w:pPr>
        <w:ind w:firstLine="656"/>
        <w:spacing w:after="0" w:line="252" w:lineRule="auto"/>
        <w:tabs>
          <w:tab w:leader="none" w:pos="8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if the U.S. Restricted Securities Legend on the Notes has not been removed (or deemed removed pursuant to this Indenture), the Notes are assigned a restricted CUSIP number or the Notes are not otherwise freely tradable pursuant to Rule 144 by Holders other than affiliates of the Company or Holders that were affiliates of the Company at any time during the three (3) months preceding (without restrictions pursuant to U.S. securities laws or the terms of this Indenture or the Notes) as of the 385th day after the last date of original issuance of the Notes, the Company shall pay Additional Interest on the Notes at a rate equal to 0.50% per annum of the principal amount of Notes outstanding for each day from, and including, such 385th day until the U.S. Restrictive Legend has been removed from the Notes, the Notes are assigned an unrestricted CUSIP number and the Notes are freely tradable as described above by Holders other than affiliates of the Company (or Holders that were affiliates of the Company at any time during the three (3) months preceding);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that no additional interest shall accrue or be owed pursuant to this Section 4.06(e) until the 15th business day following written notification to the Company by the Trustee (at the direction of the Holders) or any Holder or beneficial owner of the Notes (with a copy to the</w:t>
      </w:r>
    </w:p>
    <w:p>
      <w:pPr>
        <w:spacing w:after="0" w:line="6"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7"/>
          <w:szCs w:val="17"/>
          <w:color w:val="auto"/>
        </w:rPr>
        <w:t>Trustee) requesting that the Company complies with its obligations described in this Section 4.06(e) (which notice may be given at any time after the 335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the last date of original issuance of the Notes offered hereby), it being understood and agreed that in no event shall additional interest accrue or be</w:t>
      </w:r>
    </w:p>
    <w:p>
      <w:pPr>
        <w:ind w:right="540"/>
        <w:spacing w:after="0" w:line="227" w:lineRule="auto"/>
        <w:rPr>
          <w:sz w:val="20"/>
          <w:szCs w:val="20"/>
          <w:color w:val="auto"/>
        </w:rPr>
      </w:pPr>
      <w:r>
        <w:rPr>
          <w:rFonts w:ascii="Times New Roman" w:cs="Times New Roman" w:eastAsia="Times New Roman" w:hAnsi="Times New Roman"/>
          <w:sz w:val="18"/>
          <w:szCs w:val="18"/>
          <w:color w:val="auto"/>
        </w:rPr>
        <w:t>owed pursuant to this Section 4.06(e) for any period prior to the 385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last date of original issuance of the Notes offered hereby or any additional Notes, as the case may be. Subject to the procedures of the Depositary, the U.S. Restrictive Legend on the Notes will be deemed removed pursuant to the terms of this Indenture upon notice by the Company to the Trustee, and, at such time, the Notes will be automatically assigned an unrestricted CUSIP.</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right="140" w:firstLine="656"/>
        <w:spacing w:after="0" w:line="266" w:lineRule="auto"/>
        <w:tabs>
          <w:tab w:leader="none" w:pos="8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that is payable in accordance with Sections 4.06(d) and 4.06(e) will be payable in arrears on each Interest Payment Date following accrual in the same manner as regular interest on the Notes and will be in addition to any Additional Interest that may accrue at the Company’s election pursuant to Section 6.03.</w:t>
      </w:r>
    </w:p>
    <w:p>
      <w:pPr>
        <w:spacing w:after="0" w:line="175" w:lineRule="exact"/>
        <w:rPr>
          <w:rFonts w:ascii="Times New Roman" w:cs="Times New Roman" w:eastAsia="Times New Roman" w:hAnsi="Times New Roman"/>
          <w:sz w:val="18"/>
          <w:szCs w:val="18"/>
          <w:color w:val="auto"/>
        </w:rPr>
      </w:pPr>
    </w:p>
    <w:p>
      <w:pPr>
        <w:ind w:right="420" w:firstLine="656"/>
        <w:spacing w:after="0" w:line="266"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Additional Interest that is payable pursuant to Sections 4.06(d) and 4.06(e), together with any Additional Interest that is payable pursuant to Section 6.03, accrue at a rate in excess of 0.50% per annum pursuant to this Indenture, regardless of the number of events or circumstances giving rise to the requirement to pay such Additional Interest.</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determine whether additional interest pursuant to Sections 4.06(d) and 4.06(e) is payable or if deferred additional interest is accruing on the Notes, and may assume without inquiry that no additional interest pursuant to Sections 4.06(d) and 4.06(e) is payable or has been deferred until written notice of such additional interest has been provided to it by the Company.</w:t>
      </w:r>
    </w:p>
    <w:p>
      <w:pPr>
        <w:spacing w:after="0" w:line="17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4.07 Stay, Extension and Usury Laws</w:t>
      </w:r>
      <w:r>
        <w:rPr>
          <w:rFonts w:ascii="Times New Roman" w:cs="Times New Roman" w:eastAsia="Times New Roman" w:hAnsi="Times New Roman"/>
          <w:sz w:val="18"/>
          <w:szCs w:val="18"/>
          <w:color w:val="auto"/>
        </w:rPr>
        <w:t>. The Company covenants (to the extent that it may lawfully do so) that it shall not at any time insist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4.08 Compliance Certificate; Statements as to Defaults</w:t>
      </w:r>
      <w:r>
        <w:rPr>
          <w:rFonts w:ascii="Times New Roman" w:cs="Times New Roman" w:eastAsia="Times New Roman" w:hAnsi="Times New Roman"/>
          <w:sz w:val="18"/>
          <w:szCs w:val="18"/>
          <w:color w:val="auto"/>
        </w:rPr>
        <w:t>. The Company shall deliver to the Trustee within one hundred twenty (120)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end of each fiscal year of the Company (beginning with the fiscal year ending on December 31, 2025) an Officer’s Certificate stating whether the signers thereof have knowledge of any Event of Default or Default that occurred during the previous year and, if so, specifying each such Event of Default or Default and the nature thereof.</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a Responsible Officer of the Trustee, within thirty (30) days after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is not required to deliver such Officer’s Certificate if such Default has been cured or deemed cured.</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9" w:name="page40"/>
    <w:bookmarkEnd w:id="39"/>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4.09 Further Instruments and Acts</w:t>
      </w:r>
      <w:r>
        <w:rPr>
          <w:rFonts w:ascii="Times New Roman" w:cs="Times New Roman" w:eastAsia="Times New Roman" w:hAnsi="Times New Roman"/>
          <w:sz w:val="18"/>
          <w:szCs w:val="18"/>
          <w:color w:val="auto"/>
        </w:rPr>
        <w:t>. Upon request of the Trustee, the Company will execute and deliver such further instruments and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further acts as may be reasonably necessary or proper to carry out more effectively the purposes of this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2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5.01 Lists of Holders</w:t>
      </w:r>
      <w:r>
        <w:rPr>
          <w:rFonts w:ascii="Times New Roman" w:cs="Times New Roman" w:eastAsia="Times New Roman" w:hAnsi="Times New Roman"/>
          <w:sz w:val="18"/>
          <w:szCs w:val="18"/>
          <w:color w:val="auto"/>
        </w:rPr>
        <w:t>. The Company covenants and agrees that it will furnish or cause to be furnished to the Trustee, semi-annually,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fifteen (15) days after each January 1 and July 1 in each year beginning with January 1, 2026, and at such other times as the Trustee may request in writing, within thirty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fifteen (15) days (or such other date as the Trustee may reasonably request in order to so provide any such notices) prior to the time such information is furnished, except that no such list need be furnished to the Trustee so long as the Trustee is acting as Note Registrar.</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5.02 Preservation and Disclosure of Lists</w:t>
      </w:r>
      <w:r>
        <w:rPr>
          <w:rFonts w:ascii="Times New Roman" w:cs="Times New Roman" w:eastAsia="Times New Roman" w:hAnsi="Times New Roman"/>
          <w:sz w:val="18"/>
          <w:szCs w:val="18"/>
          <w:color w:val="auto"/>
        </w:rPr>
        <w:t>. The Trustee shall preserve, in as current a form as is reasonably practicable, all information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names and addresses of the Holders contained in the most recent list furnished to the Trustee as provided in Section 5.01 or maintained by the Trustee in its capacity as Note Registrar, if so acting. The Trustee may destroy any list furnished to it as provided in Section 5.01 upon receipt of a new list so furnished.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6.01 Events of Default</w:t>
      </w:r>
      <w:r>
        <w:rPr>
          <w:rFonts w:ascii="Times New Roman" w:cs="Times New Roman" w:eastAsia="Times New Roman" w:hAnsi="Times New Roman"/>
          <w:sz w:val="18"/>
          <w:szCs w:val="18"/>
          <w:color w:val="auto"/>
        </w:rPr>
        <w:t>.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900" w:hanging="24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thirty (30) days;</w:t>
      </w:r>
    </w:p>
    <w:p>
      <w:pPr>
        <w:spacing w:after="0" w:line="225" w:lineRule="exact"/>
        <w:rPr>
          <w:rFonts w:ascii="Times New Roman" w:cs="Times New Roman" w:eastAsia="Times New Roman" w:hAnsi="Times New Roman"/>
          <w:sz w:val="18"/>
          <w:szCs w:val="18"/>
          <w:color w:val="auto"/>
        </w:rPr>
      </w:pPr>
    </w:p>
    <w:p>
      <w:pPr>
        <w:ind w:right="940" w:firstLine="656"/>
        <w:spacing w:after="0" w:line="282"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Tax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8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three (3) Business Days;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ind w:left="-60" w:right="120" w:firstLine="656"/>
        <w:spacing w:after="0" w:line="266"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15.02(c), notice of a Make-Whole Fundamental Change in accordance with Section 14.03(b), notice of a specified corporate event in accordance with Section 14.01(b)(ii) or 14.01(b)(iii) or notice of a Termination of Trading in accordance with Section 14.01(b)(iii), in each case when due;</w:t>
      </w:r>
    </w:p>
    <w:p>
      <w:pPr>
        <w:spacing w:after="0" w:line="175" w:lineRule="exact"/>
        <w:rPr>
          <w:rFonts w:ascii="Times New Roman" w:cs="Times New Roman" w:eastAsia="Times New Roman" w:hAnsi="Times New Roman"/>
          <w:sz w:val="18"/>
          <w:szCs w:val="18"/>
          <w:color w:val="auto"/>
        </w:rPr>
      </w:pPr>
    </w:p>
    <w:p>
      <w:pPr>
        <w:ind w:left="840" w:hanging="24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left="-60" w:right="180" w:firstLine="656"/>
        <w:spacing w:after="0" w:line="266" w:lineRule="auto"/>
        <w:tabs>
          <w:tab w:leader="none" w:pos="8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Events of Default referenced in clauses (a), (b) (c), (d), (e) and (k) of this Section 6.01, failure by the Company for sixty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75" w:lineRule="exact"/>
        <w:rPr>
          <w:rFonts w:ascii="Times New Roman" w:cs="Times New Roman" w:eastAsia="Times New Roman" w:hAnsi="Times New Roman"/>
          <w:sz w:val="18"/>
          <w:szCs w:val="18"/>
          <w:color w:val="auto"/>
        </w:rPr>
      </w:pPr>
    </w:p>
    <w:p>
      <w:pPr>
        <w:ind w:left="-60" w:right="100" w:firstLine="656"/>
        <w:spacing w:after="0" w:line="256"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$25,000,000 (or its foreign currency equivalent) in the aggregate of the Company and/or any such Subsidiary, whether such indebtedness now exists or shall hereafter be created (i) resulting in such indebtedness becoming or being declared due and payable or (ii) constituting a failure to pay the principal or interest of any such debt when due and payable, after the expiration of any grace period, at its stated maturity, upon required repurchase, upon declaration of acceleration or otherwise;</w:t>
      </w:r>
    </w:p>
    <w:p>
      <w:pPr>
        <w:spacing w:after="0" w:line="187" w:lineRule="exact"/>
        <w:rPr>
          <w:rFonts w:ascii="Times New Roman" w:cs="Times New Roman" w:eastAsia="Times New Roman" w:hAnsi="Times New Roman"/>
          <w:sz w:val="18"/>
          <w:szCs w:val="18"/>
          <w:color w:val="auto"/>
        </w:rPr>
      </w:pPr>
    </w:p>
    <w:p>
      <w:pPr>
        <w:ind w:left="-60" w:right="220" w:firstLine="656"/>
        <w:spacing w:after="0" w:line="256"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a stay, liquidation, reorganization, compromise, arrangement or other relief with respect to the Company or any such Significant Subsidiary or its debts under any bankruptcy, insolvency, receivership, arrangement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w:t>
      </w:r>
    </w:p>
    <w:p>
      <w:pPr>
        <w:spacing w:after="0" w:line="187" w:lineRule="exact"/>
        <w:rPr>
          <w:rFonts w:ascii="Times New Roman" w:cs="Times New Roman" w:eastAsia="Times New Roman" w:hAnsi="Times New Roman"/>
          <w:sz w:val="18"/>
          <w:szCs w:val="18"/>
          <w:color w:val="auto"/>
        </w:rPr>
      </w:pPr>
    </w:p>
    <w:p>
      <w:pPr>
        <w:jc w:val="both"/>
        <w:ind w:left="-60" w:right="40" w:firstLine="656"/>
        <w:spacing w:after="0" w:line="258" w:lineRule="auto"/>
        <w:tabs>
          <w:tab w:leader="none" w:pos="8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a stay, liquidation, reorganization, compromise, arrangement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sixty (60) consecutive days;</w:t>
      </w:r>
    </w:p>
    <w:p>
      <w:pPr>
        <w:spacing w:after="0" w:line="183" w:lineRule="exact"/>
        <w:rPr>
          <w:rFonts w:ascii="Times New Roman" w:cs="Times New Roman" w:eastAsia="Times New Roman" w:hAnsi="Times New Roman"/>
          <w:sz w:val="18"/>
          <w:szCs w:val="18"/>
          <w:color w:val="auto"/>
        </w:rPr>
      </w:pPr>
    </w:p>
    <w:p>
      <w:pPr>
        <w:jc w:val="both"/>
        <w:ind w:left="-60" w:firstLine="656"/>
        <w:spacing w:after="0" w:line="261" w:lineRule="auto"/>
        <w:tabs>
          <w:tab w:leader="none" w:pos="8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$25,000,000 (or its foreign currency equivalent) or more (excluding any amounts covered by insurance) in the aggregate rendered against the Company or any of its Significant Subsidiaries, which judgment is not discharged, bonded, paid, waived or stayed within sixty (60) days after (i) the date on which the right to appeal thereof has expired if no such appeal has commenced, or (ii) the date on which all rights to appeal have been extinguished;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(k) a Termination of Trading shall have occurred and continued for twenty (20) consecutive days.</w:t>
      </w:r>
    </w:p>
    <w:p>
      <w:pPr>
        <w:spacing w:after="0" w:line="22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6.02 Acceleration; Rescission and Annulment</w:t>
      </w:r>
      <w:r>
        <w:rPr>
          <w:rFonts w:ascii="Times New Roman" w:cs="Times New Roman" w:eastAsia="Times New Roman" w:hAnsi="Times New Roman"/>
          <w:sz w:val="18"/>
          <w:szCs w:val="18"/>
          <w:color w:val="auto"/>
        </w:rPr>
        <w:t>. If one or more Events of Default shall have occurred and be continuing (whatever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or any Significant Subsidiary),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shall)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though payment of any sums owing may be stayed by applicable bankruptcy, insolvency or reorganization laws. The Trustee shall not be deemed to have knowledge or notice of the occurrence of any Default or Event of Default, unless a Responsible Officer of the Trustee shall have received written notice from the Company or a Holder describing such Default or Event of Default and stating that such notice is a notice of Default or Event of Default. If an Event of Default specified in Section 6.01(h) or Section 6.01(i) with respect to the Company or any Significant Subsidiary occurs and is continuing, 100% of the principal of, and accrued and unpaid interest, if any, on, all Notes shall become and shall automatically be immediately due and payable.</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in each case,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any failure by the Company to provide any notice under this Indenture other than as set forth in Section 6.01(d) shall be subject to Section 6.01(f) (including the 60-day cure period contained therein), and any related Default or Event of Default shall be deemed cured upon delivery of such notice to the applicable recipient prior to (i) the expiration of such 60-day period provided for in Section 6.01(f) or (ii) if later, the delivery of a notice of acceleration with respect to such Event of Default, in each case, whether or not the events or circumstances that are the subject of such notice have already occurred at the time such notice is given.</w:t>
      </w:r>
    </w:p>
    <w:p>
      <w:pPr>
        <w:spacing w:after="0" w:line="18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6.03 Additional Interest</w:t>
      </w:r>
      <w:r>
        <w:rPr>
          <w:rFonts w:ascii="Times New Roman" w:cs="Times New Roman" w:eastAsia="Times New Roman" w:hAnsi="Times New Roman"/>
          <w:sz w:val="18"/>
          <w:szCs w:val="18"/>
          <w:color w:val="auto"/>
        </w:rPr>
        <w:t>. (a) Notwithstanding anything in this Indenture or in the Notes to the contrary, to the extent the Company elects,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sole remedy for an Event of Default relating to the Company’s failure to comply with its obligations as set forth in Section 4.06(b), shall, for the first one hundred eighty (180) days after the occurrence of such an Event of Default, consist exclusively of the right to receive Additional Interest on the Notes at a rate equal to 0.25% per annum of the principal amount of the Notes outstanding for each day during the first ninety (90) days after the occurrence of such an Event of Default, and 0.50% per annum of the principal amount of Notes outstanding from the 91st day to the 180th day following the occurrence of such an Event of Default during which such Event of Default is continuing (in addition to any Additional Interest that may accrue pursuant to Sections 4.06(d) and 4.06(e)). If the Company so elects, such Additional Interest shall be payable in the same manner and on the same dates as the stated interest payable on the Notes. On the 181st day after an Event of Default relating to the Company’s failure to comply with its obligations as set forth in Section 4.06(b) (if such Event of Default is not cured or waived prior to such 181st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189" w:lineRule="exact"/>
        <w:rPr>
          <w:sz w:val="20"/>
          <w:szCs w:val="20"/>
          <w:color w:val="auto"/>
        </w:rPr>
      </w:pPr>
    </w:p>
    <w:p>
      <w:pPr>
        <w:ind w:firstLine="656"/>
        <w:spacing w:after="0" w:line="253"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elect to pay Additional Interest as the sole remedy during the first one hundred eighty (180) days after the occurrence of any Event of Default relating to the Company’s failure to comply with its obligations as set forth in Section 4.06(b) in accordance with Section 6.03(a), the Company must notify all Holders, the Trustee and the Paying Agent (if other than the Trustee) in writing of such election prior to the beginning of such 180-day period. Upon the failure to timely give such notice, the Notes shall be immediately subject to acceleration as provided in Section 6.02. For the avoidance of doubt, if (x) the Company timely elects to pay Additional Interest pursuant to this Section 6.03 as the sole remedy during the first one hundred eighty (180) days after the occurrence of an Event of Default relating to the Company’s failure to comply with its obligations as set forth in Section 4.06(b) in accordance with the immediately preceding paragraph, (y) the Company pays such Additional Interest in accordance with this Section 6.03 and this Indenture and (z) the Company files the delinquent reports that were required to be filed and gave rise to the relevant Event of Default (in each case in clause (z) pursuant to the provisions set forth in Section 4.06(b)) prior to the 181st day after the occurrence of such Event of Default (or prior to the delivery of any related notice of acceleration on or after such 181st day), such Event of Default shall be deemed cured and the Notes shall not be subject to acceleration as a result of the initial failure to comply with the Company’s obligations as set forth in Section 4.06(b).</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3" w:name="page44"/>
    <w:bookmarkEnd w:id="43"/>
    <w:p>
      <w:pPr>
        <w:jc w:val="both"/>
        <w:ind w:right="200" w:firstLine="656"/>
        <w:spacing w:after="0" w:line="276" w:lineRule="auto"/>
        <w:tabs>
          <w:tab w:leader="none" w:pos="88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Interest payable as the remedy for an Event of Default relating to the Company’s failure to comply with its obligations as set forth in Section 4.06(b) in accordance with Section 6.03(a) shall be in addition to, and not in lieu of, any Additional Interest payable pursuant to Sections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4.06(d) and 4.06(e). In no event shall Additional Interest payable at the Company’s election for failure to comply with its obligations as set forth in Section</w:t>
      </w:r>
    </w:p>
    <w:p>
      <w:pPr>
        <w:spacing w:after="0" w:line="9" w:lineRule="exact"/>
        <w:rPr>
          <w:rFonts w:ascii="Times New Roman" w:cs="Times New Roman" w:eastAsia="Times New Roman" w:hAnsi="Times New Roman"/>
          <w:sz w:val="17"/>
          <w:szCs w:val="17"/>
          <w:color w:val="auto"/>
        </w:rPr>
      </w:pPr>
    </w:p>
    <w:p>
      <w:pPr>
        <w:ind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4.06(b) as set forth in Section 6.03(a) and any Additional Interest that may accrue as a result of the Company’s failure to comply with its obligations as set forth in Section 4.06(d), accrue at a rate in excess of 0.50% per annum pursuant to this Indenture, regardless of the number of events or circumstances giving rise to the requirement to pay such Additional Interest.</w:t>
      </w:r>
    </w:p>
    <w:p>
      <w:pPr>
        <w:spacing w:after="0" w:line="185" w:lineRule="exact"/>
        <w:rPr>
          <w:rFonts w:ascii="Times New Roman" w:cs="Times New Roman" w:eastAsia="Times New Roman" w:hAnsi="Times New Roman"/>
          <w:sz w:val="17"/>
          <w:szCs w:val="17"/>
          <w:color w:val="auto"/>
        </w:rPr>
      </w:pPr>
    </w:p>
    <w:p>
      <w:pPr>
        <w:ind w:firstLine="656"/>
        <w:spacing w:after="0" w:line="277"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cure an Event of Default consisting of a Termination of Trading pursuant to Section 6.01(k) by offering to purchase the outstanding Notes as if the occurrence of such Event of Default were an occurrence of a Fundamental Change. To make this election, the Company must deliver a notice setting out the terms of the repurchase offer within twenty (20) days of the occurrence of a Termination of Trading. Such notice will be deemed a notice of the Fundamental Change for the purposes of the offer to purchase described under Article 15. If the Company makes such election to treat the Termination of Trading as a Fundamental Change, the Termination of Trading shall also be deemed to be a Make-Whole Fundamental Change.</w:t>
      </w:r>
    </w:p>
    <w:p>
      <w:pPr>
        <w:spacing w:after="0" w:line="16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6.04 Payments of Notes on Default; Suit Therefor</w:t>
      </w:r>
      <w:r>
        <w:rPr>
          <w:rFonts w:ascii="Times New Roman" w:cs="Times New Roman" w:eastAsia="Times New Roman" w:hAnsi="Times New Roman"/>
          <w:sz w:val="18"/>
          <w:szCs w:val="18"/>
          <w:color w:val="auto"/>
        </w:rPr>
        <w:t>. If an Event of Default described in clause (a) or (b) of Section 6.01 shall have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 continuing, the Company shall, upon demand of the Trustee, pay to the Trustee, for the benefit of the Holders,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or other property adjudged or decreed to be payable in the manner provided by law.</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the Companies’ Creditors Arrangement Act (Canada), the Bankruptcy and Insolvency Act (Canada),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may be entitled to receive in such proceedings, whether in liquidation or under any plan of reorganization or arrangement or otherwise.</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and it shall not be necessary to make any Holders parties to any such proceedings.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6.05 Application of Monies Collected by Trustee</w:t>
      </w:r>
      <w:r>
        <w:rPr>
          <w:rFonts w:ascii="Times New Roman" w:cs="Times New Roman" w:eastAsia="Times New Roman" w:hAnsi="Times New Roman"/>
          <w:sz w:val="18"/>
          <w:szCs w:val="18"/>
          <w:color w:val="auto"/>
        </w:rPr>
        <w:t>. Any monies or property collected by the Trustee pursuant to this Article 6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to the payment of all amounts due under Section 7.06 to the Trustee, in each of its capacities under this Indenture, and to the Canadian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to the payment of the remainder, if any, to the Company.</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6.06 Proceedings by Holders</w:t>
      </w:r>
      <w:r>
        <w:rPr>
          <w:rFonts w:ascii="Times New Roman" w:cs="Times New Roman" w:eastAsia="Times New Roman" w:hAnsi="Times New Roman"/>
          <w:sz w:val="18"/>
          <w:szCs w:val="18"/>
          <w:color w:val="auto"/>
        </w:rPr>
        <w:t>. Except to enforce the right to receive payment of principal (including, if applicable, the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such Holder previously shall have given to the Trustee written notice of an Event of Default and of the continuance thereof, as herein provided;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right="520" w:firstLine="656"/>
        <w:spacing w:after="0" w:line="282"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their own name as Trustee hereunder;</w:t>
      </w:r>
    </w:p>
    <w:p>
      <w:pPr>
        <w:spacing w:after="0" w:line="161" w:lineRule="exact"/>
        <w:rPr>
          <w:rFonts w:ascii="Times New Roman" w:cs="Times New Roman" w:eastAsia="Times New Roman" w:hAnsi="Times New Roman"/>
          <w:sz w:val="18"/>
          <w:szCs w:val="18"/>
          <w:color w:val="auto"/>
        </w:rPr>
      </w:pPr>
    </w:p>
    <w:p>
      <w:pPr>
        <w:ind w:right="360" w:firstLine="656"/>
        <w:spacing w:after="0" w:line="282" w:lineRule="auto"/>
        <w:tabs>
          <w:tab w:leader="none" w:pos="8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and if requested, provided to the Trustee such security and/or indemnity satisfactory to it against any loss, liability or expense (which shall include the reasonable costs of the Trustee’s legal counsel) to be incurred therein or thereby;</w:t>
      </w:r>
    </w:p>
    <w:p>
      <w:pPr>
        <w:spacing w:after="0" w:line="161" w:lineRule="exact"/>
        <w:rPr>
          <w:rFonts w:ascii="Times New Roman" w:cs="Times New Roman" w:eastAsia="Times New Roman" w:hAnsi="Times New Roman"/>
          <w:sz w:val="18"/>
          <w:szCs w:val="18"/>
          <w:color w:val="auto"/>
        </w:rPr>
      </w:pPr>
    </w:p>
    <w:p>
      <w:pPr>
        <w:ind w:right="320" w:firstLine="656"/>
        <w:spacing w:after="0" w:line="282"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sixty (60) days after their receipt of such notice, request and offer of such security and/or indemnity, shall have neglected or refused to institute any such action, suit or proceeding;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affect, disturb or prejudice the rights of any other Holder or obtain or seek to obtain priority over or preference to any other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6.07 Proceedings by Trustee</w:t>
      </w:r>
      <w:r>
        <w:rPr>
          <w:rFonts w:ascii="Times New Roman" w:cs="Times New Roman" w:eastAsia="Times New Roman" w:hAnsi="Times New Roman"/>
          <w:sz w:val="18"/>
          <w:szCs w:val="18"/>
          <w:color w:val="auto"/>
        </w:rPr>
        <w:t>. In case of an Event of Default, the Trustee may, individually or jointly, in its discretion proceed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6.08 Remedies Cumulative and Continuing</w:t>
      </w:r>
      <w:r>
        <w:rPr>
          <w:rFonts w:ascii="Times New Roman" w:cs="Times New Roman" w:eastAsia="Times New Roman" w:hAnsi="Times New Roman"/>
          <w:sz w:val="18"/>
          <w:szCs w:val="18"/>
          <w:color w:val="auto"/>
        </w:rPr>
        <w:t>. Except as provided in the last paragraph of Section 2.06, all powers and remedies given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Article 6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Section 6.09 Direction of Proceedings and Waiver of Defaults by Majority of Holders</w:t>
      </w:r>
      <w:r>
        <w:rPr>
          <w:rFonts w:ascii="Times New Roman" w:cs="Times New Roman" w:eastAsia="Times New Roman" w:hAnsi="Times New Roman"/>
          <w:sz w:val="18"/>
          <w:szCs w:val="18"/>
          <w:color w:val="auto"/>
        </w:rPr>
        <w:t>. The Holders of a majority of the aggregate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such direction shall not be in conflict with any rule of law or with this Indenture, and (b) the Trustee may take any other action deemed proper by the Trustee that is not inconsistent with such direction. The Trustee may refuse to follow any direction that conflicts with law or this Indenture or that they determine is unduly prejudicial to the rights of any other Holder (it being understood that the Trustee does not have an affirmative duty to ascertain whether or not any such direction is unduly prejudicial to the rights of another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8" w:name="page49"/>
    <w:bookmarkEnd w:id="48"/>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6.10 Notice of Defaults</w:t>
      </w:r>
      <w:r>
        <w:rPr>
          <w:rFonts w:ascii="Times New Roman" w:cs="Times New Roman" w:eastAsia="Times New Roman" w:hAnsi="Times New Roman"/>
          <w:sz w:val="18"/>
          <w:szCs w:val="18"/>
          <w:color w:val="auto"/>
        </w:rPr>
        <w:t>. The Trustee shall, within ninety (90) days after the occurrence and continuance of a Default of which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actual knowledge or has received written notice thereof,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except in the case of a default in the payment of principal of, or interest on, any Note that is to be paid by the Trustee, as Paying Agent, the Trustee shall be deemed not to have actual notice or notice of the occurrence of any Default or Event of Default unless the Trustee has received written notice from the Company or a Holder describing such Default or Event of Default, and stating that such notice is a notice of Default or Event of Default;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6.11 Undertaking to Pay Costs</w:t>
      </w:r>
      <w:r>
        <w:rPr>
          <w:rFonts w:ascii="Times New Roman" w:cs="Times New Roman" w:eastAsia="Times New Roman" w:hAnsi="Times New Roman"/>
          <w:sz w:val="18"/>
          <w:szCs w:val="18"/>
          <w:color w:val="auto"/>
        </w:rPr>
        <w:t>. All parties to this Indenture agree, and each Holder of any Note by its acceptance thereof shall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7.01 Duties and Responsibilities of Trustee</w:t>
      </w:r>
      <w:r>
        <w:rPr>
          <w:rFonts w:ascii="Times New Roman" w:cs="Times New Roman" w:eastAsia="Times New Roman" w:hAnsi="Times New Roman"/>
          <w:sz w:val="18"/>
          <w:szCs w:val="18"/>
          <w:color w:val="auto"/>
        </w:rPr>
        <w:t>. The Trustee, prior to the occurrence of an Event of Default and after the curing or waiver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 Events of Default that may have occurred, undertakes to perform such duties and only such duties as are specifically set forth in this Indenture. In the event an Event of Default has occurred and is continuing, of which a Responsible Officer of the Trustee has actual knowledge or of which a Responsible Officer of the Trustee has received written notice in accordance with Section 6.10,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other agent shall be held to a prudent person standard in and during an Event of Default;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and/or security reasonably satisfactory to the Trustee against any loss, claim, liability or expense (which includes the reasonable costs of the Trustee’s legal counsel) that might be incurred by it in compliance with such request or direction.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 negligence or willful misconduct, except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780" w:firstLine="656"/>
        <w:spacing w:after="0" w:line="282" w:lineRule="auto"/>
        <w:tabs>
          <w:tab w:leader="none" w:pos="8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of which a Responsible Officer of the Trustee has received written notice or has actual knowledge in accordance with Section 6.10 and after the curing or waiving of all Events of Default that may have occurred:</w:t>
      </w:r>
    </w:p>
    <w:p>
      <w:pPr>
        <w:spacing w:after="0" w:line="161" w:lineRule="exact"/>
        <w:rPr>
          <w:rFonts w:ascii="Times New Roman" w:cs="Times New Roman" w:eastAsia="Times New Roman" w:hAnsi="Times New Roman"/>
          <w:sz w:val="18"/>
          <w:szCs w:val="18"/>
          <w:color w:val="auto"/>
        </w:rPr>
      </w:pPr>
    </w:p>
    <w:p>
      <w:pPr>
        <w:jc w:val="both"/>
        <w:ind w:left="660" w:right="200" w:firstLine="644"/>
        <w:spacing w:after="0" w:line="266" w:lineRule="auto"/>
        <w:tabs>
          <w:tab w:leader="none" w:pos="152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ind w:left="660" w:firstLine="644"/>
        <w:spacing w:after="0" w:line="254" w:lineRule="auto"/>
        <w:tabs>
          <w:tab w:leader="none" w:pos="157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gross negligence or willful misconduct on the part of the Trustee, the Trustee may conclusively rely upon any certificates or opinions furnished to the Trustee and conforming to the requirements of this Indenture as to the truth of the statements and the correctness of the opinions expressed therein;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Trustee need not act or refrain from acting based on any certificate or opinion that it determines to be not in conformity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requirements of this Indenture. If presented with a non-conforming certificate or opinion, the Trustee may request the delivering party to re-issue the certificate or opinion in the manner required by this Indenture before taking any action;</w:t>
      </w:r>
    </w:p>
    <w:p>
      <w:pPr>
        <w:spacing w:after="0" w:line="191" w:lineRule="exact"/>
        <w:rPr>
          <w:rFonts w:ascii="Times New Roman" w:cs="Times New Roman" w:eastAsia="Times New Roman" w:hAnsi="Times New Roman"/>
          <w:sz w:val="18"/>
          <w:szCs w:val="18"/>
          <w:color w:val="auto"/>
        </w:rPr>
      </w:pPr>
    </w:p>
    <w:p>
      <w:pPr>
        <w:ind w:right="160" w:firstLine="656"/>
        <w:spacing w:after="0" w:line="282" w:lineRule="auto"/>
        <w:tabs>
          <w:tab w:leader="none" w:pos="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8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them in good faith in accordance with the direction of the Holders of not less than 25%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ind w:right="20" w:firstLine="656"/>
        <w:spacing w:after="0" w:line="282"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ind w:right="240" w:firstLine="656"/>
        <w:spacing w:after="0" w:line="266" w:lineRule="auto"/>
        <w:tabs>
          <w:tab w:leader="none" w:pos="8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as provided in Section 6.10;</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ind w:firstLine="656"/>
        <w:spacing w:after="0" w:line="258"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ind w:firstLine="656"/>
        <w:spacing w:after="0" w:line="266" w:lineRule="auto"/>
        <w:tabs>
          <w:tab w:leader="none" w:pos="8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their own funds or otherwise incur personal financial liability in the performance of any of their duties or in the exercise of any of their rights or powers. Prior to taking any action under the indenture, the Trustee shall be entitled to receive indemnification and/or security satisfactory to it against any loss, liability or expense caused by taking or not taking such action.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7.02 Reliance on Documents, Opinions, Etc. </w:t>
      </w:r>
      <w:r>
        <w:rPr>
          <w:rFonts w:ascii="Times New Roman" w:cs="Times New Roman" w:eastAsia="Times New Roman" w:hAnsi="Times New Roman"/>
          <w:sz w:val="18"/>
          <w:szCs w:val="18"/>
          <w:color w:val="auto"/>
        </w:rPr>
        <w:t>Except as otherwise provided in Section 7.01:</w:t>
      </w:r>
    </w:p>
    <w:p>
      <w:pPr>
        <w:spacing w:after="0" w:line="227" w:lineRule="exact"/>
        <w:rPr>
          <w:sz w:val="20"/>
          <w:szCs w:val="20"/>
          <w:color w:val="auto"/>
        </w:rPr>
      </w:pPr>
    </w:p>
    <w:p>
      <w:pPr>
        <w:ind w:right="80" w:firstLine="656"/>
        <w:spacing w:after="0" w:line="266" w:lineRule="auto"/>
        <w:tabs>
          <w:tab w:leader="none" w:pos="8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judgment, order, bond, note, coupon or other paper or document believed by it in good faith to be genuine and to have been signed or presented by the proper party or parties;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left="-40" w:right="120" w:firstLine="656"/>
        <w:spacing w:after="0" w:line="266" w:lineRule="auto"/>
        <w:tabs>
          <w:tab w:leader="none" w:pos="8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ind w:left="-40" w:right="80" w:firstLine="656"/>
        <w:spacing w:after="0" w:line="266" w:lineRule="auto"/>
        <w:tabs>
          <w:tab w:leader="none" w:pos="8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75" w:lineRule="exact"/>
        <w:rPr>
          <w:rFonts w:ascii="Times New Roman" w:cs="Times New Roman" w:eastAsia="Times New Roman" w:hAnsi="Times New Roman"/>
          <w:sz w:val="18"/>
          <w:szCs w:val="18"/>
          <w:color w:val="auto"/>
        </w:rPr>
      </w:pPr>
    </w:p>
    <w:p>
      <w:pPr>
        <w:ind w:left="-40" w:firstLine="656"/>
        <w:spacing w:after="0" w:line="266" w:lineRule="auto"/>
        <w:tabs>
          <w:tab w:leader="none" w:pos="8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jc w:val="both"/>
        <w:ind w:left="-40" w:right="140" w:firstLine="656"/>
        <w:spacing w:after="0" w:line="261" w:lineRule="auto"/>
        <w:tabs>
          <w:tab w:leader="none" w:pos="8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and shall incur no liability of any kind by reason of such inquiry or investigation;</w:t>
      </w:r>
    </w:p>
    <w:p>
      <w:pPr>
        <w:spacing w:after="0" w:line="179" w:lineRule="exact"/>
        <w:rPr>
          <w:rFonts w:ascii="Times New Roman" w:cs="Times New Roman" w:eastAsia="Times New Roman" w:hAnsi="Times New Roman"/>
          <w:sz w:val="18"/>
          <w:szCs w:val="18"/>
          <w:color w:val="auto"/>
        </w:rPr>
      </w:pPr>
    </w:p>
    <w:p>
      <w:pPr>
        <w:ind w:left="-40" w:right="260" w:firstLine="656"/>
        <w:spacing w:after="0" w:line="266"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affiliates, custodians, nominees or attorneys and the Trustee shall not be responsible for any misconduct or negligence on the part of any agent, affiliate, custodian, nominee or attorney appointed by them with due care hereunder;</w:t>
      </w:r>
    </w:p>
    <w:p>
      <w:pPr>
        <w:spacing w:after="0" w:line="175" w:lineRule="exact"/>
        <w:rPr>
          <w:rFonts w:ascii="Times New Roman" w:cs="Times New Roman" w:eastAsia="Times New Roman" w:hAnsi="Times New Roman"/>
          <w:sz w:val="18"/>
          <w:szCs w:val="18"/>
          <w:color w:val="auto"/>
        </w:rPr>
      </w:pPr>
    </w:p>
    <w:p>
      <w:pPr>
        <w:ind w:left="880" w:hanging="26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left="-40" w:right="60" w:firstLine="656"/>
        <w:spacing w:after="0" w:line="266" w:lineRule="auto"/>
        <w:tabs>
          <w:tab w:leader="none" w:pos="8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5" w:lineRule="exact"/>
        <w:rPr>
          <w:rFonts w:ascii="Times New Roman" w:cs="Times New Roman" w:eastAsia="Times New Roman" w:hAnsi="Times New Roman"/>
          <w:sz w:val="18"/>
          <w:szCs w:val="18"/>
          <w:color w:val="auto"/>
        </w:rPr>
      </w:pPr>
    </w:p>
    <w:p>
      <w:pPr>
        <w:ind w:left="-40" w:right="20" w:firstLine="656"/>
        <w:spacing w:after="0" w:line="258" w:lineRule="auto"/>
        <w:tabs>
          <w:tab w:leader="none" w:pos="8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52" w:name="page53"/>
    <w:bookmarkEnd w:id="52"/>
    <w:p>
      <w:pPr>
        <w:ind w:right="260" w:firstLine="656"/>
        <w:spacing w:after="0" w:line="266"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any special, indirect, punitive, incidental,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by the Company or by any Holder of the Notes in the manner required under this Indenture; and</w:t>
      </w:r>
    </w:p>
    <w:p>
      <w:pPr>
        <w:spacing w:after="0" w:line="183" w:lineRule="exact"/>
        <w:rPr>
          <w:rFonts w:ascii="Times New Roman" w:cs="Times New Roman" w:eastAsia="Times New Roman" w:hAnsi="Times New Roman"/>
          <w:sz w:val="18"/>
          <w:szCs w:val="18"/>
          <w:color w:val="auto"/>
        </w:rPr>
      </w:pPr>
    </w:p>
    <w:p>
      <w:pPr>
        <w:ind w:right="540" w:firstLine="656"/>
        <w:spacing w:after="0" w:line="282"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7.03 No Responsibility for Recitals, Etc. </w:t>
      </w:r>
      <w:r>
        <w:rPr>
          <w:rFonts w:ascii="Times New Roman" w:cs="Times New Roman" w:eastAsia="Times New Roman" w:hAnsi="Times New Roman"/>
          <w:sz w:val="18"/>
          <w:szCs w:val="18"/>
          <w:color w:val="auto"/>
        </w:rPr>
        <w:t>The recitals contained herein and in the Notes (except in the Trustee’s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7.04 Trustee, Paying Agents, Conversion Agents, Bid Solicitation Agent or Note Registrar May Own Notes</w:t>
      </w:r>
      <w:r>
        <w:rPr>
          <w:rFonts w:ascii="Times New Roman" w:cs="Times New Roman" w:eastAsia="Times New Roman" w:hAnsi="Times New Roman"/>
          <w:sz w:val="18"/>
          <w:szCs w:val="18"/>
          <w:color w:val="auto"/>
        </w:rPr>
        <w:t>. The Trustee, any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any Conversion Agent, Bid Solicitation Agent (if other than the Company or any Affiliate thereof) or Note Registrar, in their individual or any other capacity, may become the owner or pledgee of Notes with the same rights they would have if they were not the Trustee, Paying Agent, Conversion Agent, Bid Solicitation Agent or Note Registrar.</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7.05 Monies and Common Shares to Be Held in Trust</w:t>
      </w:r>
      <w:r>
        <w:rPr>
          <w:rFonts w:ascii="Times New Roman" w:cs="Times New Roman" w:eastAsia="Times New Roman" w:hAnsi="Times New Roman"/>
          <w:sz w:val="18"/>
          <w:szCs w:val="18"/>
          <w:color w:val="auto"/>
        </w:rPr>
        <w:t>. All monies and Common Shares received by the Trustee shall, until used or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herein provided, be held in trust for the purposes for which they were received. Money and Common Shares held by the Trustee in trust hereunder need not be segregated from other funds except to the extent required by law. The Trustee shall be under no liability for interest on any money or Common Shares received by it hereunder except as may be agreed from time to time by the Company and the Trustee.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3" w:name="page54"/>
    <w:bookmarkEnd w:id="53"/>
    <w:p>
      <w:pPr>
        <w:ind w:right="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Section 7.06 Compensation and Expenses of Trustee</w:t>
      </w:r>
      <w:r>
        <w:rPr>
          <w:rFonts w:ascii="Times New Roman" w:cs="Times New Roman" w:eastAsia="Times New Roman" w:hAnsi="Times New Roman"/>
          <w:sz w:val="18"/>
          <w:szCs w:val="18"/>
          <w:color w:val="auto"/>
        </w:rPr>
        <w:t>. The Company covenants and agrees to pay to the Trustee from time to time and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the Trustee’s gross negligence or willful misconduct, as determined by a final, non-appealable order of a court of competent jurisdiction. Any amount owing hereunder and remaining unpaid after thirty (30) days from the invoice date will bear interest at the then current rate charged by the Trustee against unpaid invoices and shall be payable upon demand. The Company also covenants to indemnify the Trustee or any predecessor Trustee in any capacity under this Indenture and any other document or transaction entered into in connection herewith and its agents and any authenticating agent for, and to hold them harmless against, any and all loss, claim, charge, demand, assessment, interest, penalty, action, suit, proceeding, damage, liability, cost or expense, including, without limiting the foregoing, expert, consultant and reasonable counsel fees, disbursements on a solicitor and client basis, and the costs and expenses of enforcing the terms of this Indenture, including the indemnifications provided herein (whether brought by the Company, any Holder or any other third party) incurred without gross negligence, willful misconduct or bad faith on the part of the Trustee, its affiliates, officers, directors, agents or employees, or such agent or authenticating agent, as the case may be, as determined by a final order of a court of competent jurisdiction,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affiliates, officers, directors, agents and employees of the Trustee.</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7.07 Officer’s Certificate as Evidence</w:t>
      </w:r>
      <w:r>
        <w:rPr>
          <w:rFonts w:ascii="Times New Roman" w:cs="Times New Roman" w:eastAsia="Times New Roman" w:hAnsi="Times New Roman"/>
          <w:sz w:val="18"/>
          <w:szCs w:val="18"/>
          <w:color w:val="auto"/>
        </w:rPr>
        <w:t>. Except as otherwise provided in Section 7.01, whenever in the administration of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as determined in a final, non-appealable order of a court of competent jurisdiction, be deemed to be conclusively proved and established by an Officer’s Certificate delivered to the Trustee, and such Officer’s Certificate, in the absence of gross negligence or willful misconduct on the part of the Trustee as determined in a final, non-appealable order of a court of competent jurisdiction, shall be full warrant to the Trustee for any action taken or omitted by them under the provisions of this Indenture upon the faith thereof.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4" w:name="page55"/>
    <w:bookmarkEnd w:id="54"/>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7.08 Eligibility of Trustee</w:t>
      </w:r>
      <w:r>
        <w:rPr>
          <w:rFonts w:ascii="Times New Roman" w:cs="Times New Roman" w:eastAsia="Times New Roman" w:hAnsi="Times New Roman"/>
          <w:sz w:val="18"/>
          <w:szCs w:val="18"/>
          <w:color w:val="auto"/>
        </w:rPr>
        <w:t>. There shall at all times be a Trustee hereunder which shall be a Person that is eligible pursuant to the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Act (as if the Trust Indenture Act were applicable hereto) to act as such and has a combined capital and surplus of at least the minimum amount required by the Trust Indenture Act.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such Trustee shall cease to be eligible in accordance with the provisions of this Section, it shall resign immediately in the manner and with the effect hereinafter specified in this Article.</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7.09 Resignation or Removal of Trustee</w:t>
      </w:r>
      <w:r>
        <w:rPr>
          <w:rFonts w:ascii="Times New Roman" w:cs="Times New Roman" w:eastAsia="Times New Roman" w:hAnsi="Times New Roman"/>
          <w:sz w:val="18"/>
          <w:szCs w:val="18"/>
          <w:color w:val="auto"/>
        </w:rPr>
        <w:t>. (a) A Trustee may at any time resign by giving thirty (30) days’ written notice of such resignation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forty five (45) days after the giving of such notice of resignation to the Holders, the resigning Trustee may, upon ten (10) Business Days’ notice to the Company and the Holders, petition any court of competent jurisdiction, at the sole expense of the Company, for the appointment of a successor trustee, or any Holder who has been a bona fide Holder for at least six (6)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90" w:lineRule="exact"/>
        <w:rPr>
          <w:sz w:val="20"/>
          <w:szCs w:val="20"/>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52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 longer be a Trustee eligible in accordance with the provisions of Section 7.08 and such Trustee shall fail to resign after written request therefor by the Company or Holders in the manner required by Section 7.09(c), or</w:t>
      </w:r>
    </w:p>
    <w:p>
      <w:pPr>
        <w:spacing w:after="0" w:line="161" w:lineRule="exact"/>
        <w:rPr>
          <w:rFonts w:ascii="Times New Roman" w:cs="Times New Roman" w:eastAsia="Times New Roman" w:hAnsi="Times New Roman"/>
          <w:sz w:val="18"/>
          <w:szCs w:val="18"/>
          <w:color w:val="auto"/>
        </w:rPr>
      </w:pPr>
    </w:p>
    <w:p>
      <w:pPr>
        <w:ind w:left="660" w:right="200" w:firstLine="644"/>
        <w:spacing w:after="0" w:line="266" w:lineRule="auto"/>
        <w:tabs>
          <w:tab w:leader="none" w:pos="157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shall become incapable of acting, or shall be adjudged a bankrupt or insolvent, or a receiver of a Trustee or of its property shall be appointed, or any public officer shall take charge or control of a Trustee or of its property or affairs for the purpose of rehabilitation, conservation or liquidation,</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such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(6)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5" w:name="page56"/>
    <w:bookmarkEnd w:id="55"/>
    <w:p>
      <w:pPr>
        <w:ind w:right="140" w:firstLine="656"/>
        <w:spacing w:after="0" w:line="261" w:lineRule="auto"/>
        <w:tabs>
          <w:tab w:leader="none" w:pos="8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(10)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79" w:lineRule="exact"/>
        <w:rPr>
          <w:rFonts w:ascii="Times New Roman" w:cs="Times New Roman" w:eastAsia="Times New Roman" w:hAnsi="Times New Roman"/>
          <w:sz w:val="18"/>
          <w:szCs w:val="18"/>
          <w:color w:val="auto"/>
        </w:rPr>
      </w:pPr>
    </w:p>
    <w:p>
      <w:pPr>
        <w:ind w:right="380" w:firstLine="656"/>
        <w:spacing w:after="0" w:line="282" w:lineRule="auto"/>
        <w:tabs>
          <w:tab w:leader="none" w:pos="8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a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7.10 Acceptance by Successor Trustee</w:t>
      </w:r>
      <w:r>
        <w:rPr>
          <w:rFonts w:ascii="Times New Roman" w:cs="Times New Roman" w:eastAsia="Times New Roman" w:hAnsi="Times New Roman"/>
          <w:sz w:val="18"/>
          <w:szCs w:val="18"/>
          <w:color w:val="auto"/>
        </w:rPr>
        <w:t>. Any successor trustee appointed as provided in Section 7.09 shall execute, acknowledge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(10) days after acceptance of appointment by the successor trustee, the successor trustee shall cause such notice to be delivered at the expense of the Company.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6" w:name="page57"/>
    <w:bookmarkEnd w:id="56"/>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7.11 Succession by Merger, Etc. </w:t>
      </w:r>
      <w:r>
        <w:rPr>
          <w:rFonts w:ascii="Times New Roman" w:cs="Times New Roman" w:eastAsia="Times New Roman" w:hAnsi="Times New Roman"/>
          <w:sz w:val="18"/>
          <w:szCs w:val="18"/>
          <w:color w:val="auto"/>
        </w:rPr>
        <w:t>Any corporation or other entity into which a Trustee may be merged or converted or with which it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or any corporation or other entity resulting from any merger, conversion or consolidation to which a Trustee shall be a party, or any corporation or other entity succeeding to all or substantially all of the corporate trust business of a Trustee (including the administration of this Indenture), shall be the successor to a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a Trustee, such corporation or other entity shall be eligible under the provisions of Section 7.08.</w:t>
      </w:r>
    </w:p>
    <w:p>
      <w:pPr>
        <w:spacing w:after="0" w:line="1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a successor to a Trustee shall succeed to the trusts created by this Indenture, any of the Notes shall have been authenticated but not delivered, any such successor to a Trustee may adopt the certificate of authentication of any predecessor trustee or authenticating agent appointed by such predecessor trustee, and deliver such Notes so authenticated; and in case at that time any of the Notes shall not have been authenticated, any successor to a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7.12 Trustee’s Application for Instructions from the Company</w:t>
      </w:r>
      <w:r>
        <w:rPr>
          <w:rFonts w:ascii="Times New Roman" w:cs="Times New Roman" w:eastAsia="Times New Roman" w:hAnsi="Times New Roman"/>
          <w:sz w:val="18"/>
          <w:szCs w:val="18"/>
          <w:color w:val="auto"/>
        </w:rPr>
        <w:t>. Any application by the Trustee for written instructions from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with regard to any action proposed to be taken or omitted to be taken by the Trustee that affects the rights of the Holders of the Notes under the Indenture) may, at the option of the Trustee, set forth in writing any action proposed to be taken or omitted by the Trustee under this Indenture and the date on and/or after which such action shall be taken or such omission shall be effective. In the absence of gross negligence or willful misconduct on the part of the Trustee, the Trustee shall not be liable to the Company for any action taken by, or omission of, the Trustee in accordance with a proposal included in such application on or after the date specified in such application (which date shall not be less than three (3)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8.01 Action by Holders</w:t>
      </w:r>
      <w:r>
        <w:rPr>
          <w:rFonts w:ascii="Times New Roman" w:cs="Times New Roman" w:eastAsia="Times New Roman" w:hAnsi="Times New Roman"/>
          <w:sz w:val="18"/>
          <w:szCs w:val="18"/>
          <w:color w:val="auto"/>
        </w:rPr>
        <w:t>. Whenever in this Indenture it is provided that the Holders of a specified percentage of the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(15) days prior to the date of commencement of solicitation of such action.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8.02 Proof of Execution by Holders</w:t>
      </w:r>
      <w:r>
        <w:rPr>
          <w:rFonts w:ascii="Times New Roman" w:cs="Times New Roman" w:eastAsia="Times New Roman" w:hAnsi="Times New Roman"/>
          <w:sz w:val="18"/>
          <w:szCs w:val="18"/>
          <w:color w:val="auto"/>
        </w:rPr>
        <w:t>. Subject to the provisions of Section 7.01, Section 7.02, Section 7.07 and Section 9.05, proof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8.03 Who Are Deemed Absolute Owners</w:t>
      </w:r>
      <w:r>
        <w:rPr>
          <w:rFonts w:ascii="Times New Roman" w:cs="Times New Roman" w:eastAsia="Times New Roman" w:hAnsi="Times New Roman"/>
          <w:sz w:val="18"/>
          <w:szCs w:val="18"/>
          <w:color w:val="auto"/>
        </w:rPr>
        <w:t>. The Company, the Trustee, any authenticating agent, any Paying Agent, any Conversion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or upon its order, shall be valid, and, to the extent of the sums or Common Shares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Definitive Note in accordance with the provisions of this Indenture.</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8.04 Company-Owned Notes Disregarded</w:t>
      </w:r>
      <w:r>
        <w:rPr>
          <w:rFonts w:ascii="Times New Roman" w:cs="Times New Roman" w:eastAsia="Times New Roman" w:hAnsi="Times New Roman"/>
          <w:sz w:val="18"/>
          <w:szCs w:val="18"/>
          <w:color w:val="auto"/>
        </w:rPr>
        <w:t>. In determining whether the Holders of the requisite aggregate principal amount of Notes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Section 7.02 and Section 7.07, the Trustee shall be entitled to accept such Officer’s Certificate as conclusive evidence of the facts therein set forth and of the fact that all Notes not listed therein are outstanding for the purpose of any such determination.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ind w:right="1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8.05 Revocation of Consents; Future Holders Bound</w:t>
      </w:r>
      <w:r>
        <w:rPr>
          <w:rFonts w:ascii="Times New Roman" w:cs="Times New Roman" w:eastAsia="Times New Roman" w:hAnsi="Times New Roman"/>
          <w:sz w:val="18"/>
          <w:szCs w:val="18"/>
          <w:color w:val="auto"/>
        </w:rPr>
        <w:t>. At any time prior to (but not after) the evidencing to the Trustee,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the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9.01 Purpose of Meetings</w:t>
      </w:r>
      <w:r>
        <w:rPr>
          <w:rFonts w:ascii="Times New Roman" w:cs="Times New Roman" w:eastAsia="Times New Roman" w:hAnsi="Times New Roman"/>
          <w:sz w:val="18"/>
          <w:szCs w:val="18"/>
          <w:color w:val="auto"/>
        </w:rPr>
        <w:t>. A meeting of Holders may be called at any time and from time to time pursuant to the provisions of this Article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 for any of the following purposes:</w:t>
      </w:r>
    </w:p>
    <w:p>
      <w:pPr>
        <w:spacing w:after="0" w:line="160" w:lineRule="exact"/>
        <w:rPr>
          <w:sz w:val="20"/>
          <w:szCs w:val="20"/>
          <w:color w:val="auto"/>
        </w:rPr>
      </w:pPr>
    </w:p>
    <w:p>
      <w:pPr>
        <w:ind w:right="60" w:firstLine="656"/>
        <w:spacing w:after="0" w:line="266" w:lineRule="auto"/>
        <w:tabs>
          <w:tab w:leader="none" w:pos="8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140" w:firstLine="656"/>
        <w:spacing w:after="0" w:line="282"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59" w:name="page60"/>
    <w:bookmarkEnd w:id="59"/>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9.02 Call of Meetings by Trustee</w:t>
      </w:r>
      <w:r>
        <w:rPr>
          <w:rFonts w:ascii="Times New Roman" w:cs="Times New Roman" w:eastAsia="Times New Roman" w:hAnsi="Times New Roman"/>
          <w:sz w:val="18"/>
          <w:szCs w:val="18"/>
          <w:color w:val="auto"/>
        </w:rPr>
        <w:t>. The Trustee may at any time call a meeting of Holders to take any action specified in Section 9.01,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by the Trustee to Holders of such Notes. Such notice shall also be delivered to the Company. Such notices shall be delivered not less than twenty (20) nor more than ninety (90) days prior to the date fixed for the meeting.</w:t>
      </w:r>
    </w:p>
    <w:p>
      <w:pPr>
        <w:spacing w:after="0" w:line="18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9.03 Call of Meetings by Company or Holders</w:t>
      </w:r>
      <w:r>
        <w:rPr>
          <w:rFonts w:ascii="Times New Roman" w:cs="Times New Roman" w:eastAsia="Times New Roman" w:hAnsi="Times New Roman"/>
          <w:sz w:val="18"/>
          <w:szCs w:val="18"/>
          <w:color w:val="auto"/>
        </w:rPr>
        <w:t>. In case at any time the Company, pursuant to a Board Resolution, or the Holders of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twenty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Section 9.04 Qualifications for Voting</w:t>
      </w:r>
      <w:r>
        <w:rPr>
          <w:rFonts w:ascii="Times New Roman" w:cs="Times New Roman" w:eastAsia="Times New Roman" w:hAnsi="Times New Roman"/>
          <w:sz w:val="17"/>
          <w:szCs w:val="17"/>
          <w:color w:val="auto"/>
        </w:rPr>
        <w:t>. To be entitled to vote at any meeting of Holders a Person shall (a) be a Holder of one or more Notes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9.05 Regulations</w:t>
      </w:r>
      <w:r>
        <w:rPr>
          <w:rFonts w:ascii="Times New Roman" w:cs="Times New Roman" w:eastAsia="Times New Roman" w:hAnsi="Times New Roman"/>
          <w:sz w:val="18"/>
          <w:szCs w:val="18"/>
          <w:color w:val="auto"/>
        </w:rPr>
        <w:t>. Notwithstanding any other provisions of this Indenture, the Trustee may make such reasonable regulations as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 of the meeting, unless the meeting shall have been called by the Company or by Holders as provided in Section 9.03, in which case the Company or the Holders calling the meeting, as the case may be, shall in like manner appoint a temporary chair. A permanent chair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vote shall be cast or counted at any meeting in respect of any Note challenged as not outstanding and ruled by the chair of the meeting to be not outstanding. The chair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60" w:name="page61"/>
    <w:bookmarkEnd w:id="60"/>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9.06 Voting</w:t>
      </w:r>
      <w:r>
        <w:rPr>
          <w:rFonts w:ascii="Times New Roman" w:cs="Times New Roman" w:eastAsia="Times New Roman" w:hAnsi="Times New Roman"/>
          <w:sz w:val="18"/>
          <w:szCs w:val="18"/>
          <w:color w:val="auto"/>
        </w:rPr>
        <w:t>. The vote upon any resolution submitted to any meeting of Holders shall be by written ballot on which shall be subscribed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of the Holders or of their representatives by proxy and the outstanding aggregate principal amount of the Notes held or represented by them. The permanent chair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9.07 No Delay of Rights by Meeting</w:t>
      </w:r>
      <w:r>
        <w:rPr>
          <w:rFonts w:ascii="Times New Roman" w:cs="Times New Roman" w:eastAsia="Times New Roman" w:hAnsi="Times New Roman"/>
          <w:sz w:val="18"/>
          <w:szCs w:val="18"/>
          <w:color w:val="auto"/>
        </w:rPr>
        <w:t>. Nothing contained in this Article 9 shall be deemed or construed to authorize or permit, by reason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p>
      <w:pPr>
        <w:spacing w:after="0" w:line="223"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10.01 Supplemental Indentures Without Consent of Holders</w:t>
      </w:r>
      <w:r>
        <w:rPr>
          <w:rFonts w:ascii="Times New Roman" w:cs="Times New Roman" w:eastAsia="Times New Roman" w:hAnsi="Times New Roman"/>
          <w:sz w:val="18"/>
          <w:szCs w:val="18"/>
          <w:color w:val="auto"/>
        </w:rPr>
        <w:t>. Without the consent of Holders, the Company and the Trustee,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expense, may from time to time and at any time enter into an indenture or indentures supplemental hereto for one or more of the following purposes:</w:t>
      </w:r>
    </w:p>
    <w:p>
      <w:pPr>
        <w:spacing w:after="0" w:line="175" w:lineRule="exact"/>
        <w:rPr>
          <w:sz w:val="20"/>
          <w:szCs w:val="20"/>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of the obligations of the Company under this Indenture pursuant to Article 11;</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61" w:name="page62"/>
    <w:bookmarkEnd w:id="61"/>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 upon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elect a Settlement Method or Specified Dollar Amount (or a minimum Specified Dollar Amount), or eliminate the Company’s right to elect a Settlement Method;</w:t>
      </w:r>
    </w:p>
    <w:p>
      <w:pPr>
        <w:spacing w:after="0" w:line="161" w:lineRule="exact"/>
        <w:rPr>
          <w:rFonts w:ascii="Times New Roman" w:cs="Times New Roman" w:eastAsia="Times New Roman" w:hAnsi="Times New Roman"/>
          <w:sz w:val="18"/>
          <w:szCs w:val="18"/>
          <w:color w:val="auto"/>
        </w:rPr>
      </w:pPr>
    </w:p>
    <w:p>
      <w:pPr>
        <w:ind w:right="280" w:firstLine="656"/>
        <w:spacing w:after="0" w:line="282"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Merger Event, to provide that the Notes are convertible into Reference Property, subject to the provisions of Section 14.02, and make such related changes to the terms of the Notes to the extent expressly required by Section 14.07; or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10.02 Supplemental Indentures with Consent of Holders</w:t>
      </w:r>
      <w:r>
        <w:rPr>
          <w:rFonts w:ascii="Times New Roman" w:cs="Times New Roman" w:eastAsia="Times New Roman" w:hAnsi="Times New Roman"/>
          <w:sz w:val="18"/>
          <w:szCs w:val="18"/>
          <w:color w:val="auto"/>
        </w:rPr>
        <w:t>. With the consent (evidenced as provided in Article 8) of the Holders of at least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without the consent of each Holder of an outstanding Note affected, no such supplemental indenture shall:</w:t>
      </w:r>
    </w:p>
    <w:p>
      <w:pPr>
        <w:spacing w:after="0" w:line="184" w:lineRule="exact"/>
        <w:rPr>
          <w:sz w:val="20"/>
          <w:szCs w:val="20"/>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right="20" w:firstLine="656"/>
        <w:spacing w:after="0" w:line="266" w:lineRule="auto"/>
        <w:tabs>
          <w:tab w:leader="none" w:pos="8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or definitions hereof or otherwise;</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the Note, subject to the applicable procedures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bring suit to enforce any payment of principal and interest on such Holder’s Notes on or after the due dates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with respect to Additional Amounts in a manner adverse to Holders of the Notes; or</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10.03 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Indenture shall be and be deemed to be modified and amended in accordance therewith and the respective rights, limitation of rights, obligations, duties, indemnities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10.04 Notation on Notes</w:t>
      </w:r>
      <w:r>
        <w:rPr>
          <w:rFonts w:ascii="Times New Roman" w:cs="Times New Roman" w:eastAsia="Times New Roman" w:hAnsi="Times New Roman"/>
          <w:sz w:val="18"/>
          <w:szCs w:val="18"/>
          <w:color w:val="auto"/>
        </w:rPr>
        <w:t>. Notes authenticated and delivered after the execution of any supplemental indenture pursuant to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upon receipt of an Officer’s Certificate, an Opinion of Counsel and delivered in exchange for the Notes then outstanding, upon surrender of such Notes then outstanding.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10.05 Evidence of Compliance of Supplemental Indenture to Be Furnished to Trustee</w:t>
      </w:r>
      <w:r>
        <w:rPr>
          <w:rFonts w:ascii="Times New Roman" w:cs="Times New Roman" w:eastAsia="Times New Roman" w:hAnsi="Times New Roman"/>
          <w:sz w:val="18"/>
          <w:szCs w:val="18"/>
          <w:color w:val="auto"/>
        </w:rPr>
        <w:t>. In addition to the documents required by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17.05, the Trustee shall receive an Officer’s Certificate and an Opinion of Counsel as conclusive evidence that any supplemental indenture executed pursuant hereto complies with the requirements of this Article 10 and is permitted or authorized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p>
      <w:pPr>
        <w:spacing w:after="0" w:line="22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11.01 Company May Consolidate, Etc. on Certain Terms</w:t>
      </w:r>
      <w:r>
        <w:rPr>
          <w:rFonts w:ascii="Times New Roman" w:cs="Times New Roman" w:eastAsia="Times New Roman" w:hAnsi="Times New Roman"/>
          <w:sz w:val="18"/>
          <w:szCs w:val="18"/>
          <w:color w:val="auto"/>
        </w:rPr>
        <w:t>. Subject to the provisions of Section 11.02, the Company shall not consolidate,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an arrangement, combine or amalgamate with, merge with or into, or sell, convey, transfer or lease all or substantially all of its properties and assets to another Person (other than any such sale, conveyance, transfer or lease to one or more of the Company’s direct or indirect wholly owned Subsidiaries) unless (i) the Company is the surviving person or (ii):</w:t>
      </w:r>
    </w:p>
    <w:p>
      <w:pPr>
        <w:spacing w:after="0" w:line="178" w:lineRule="exact"/>
        <w:rPr>
          <w:sz w:val="20"/>
          <w:szCs w:val="20"/>
          <w:color w:val="auto"/>
        </w:rPr>
      </w:pPr>
    </w:p>
    <w:p>
      <w:pPr>
        <w:ind w:right="260" w:firstLine="656"/>
        <w:spacing w:after="0" w:line="262" w:lineRule="auto"/>
        <w:tabs>
          <w:tab w:leader="none" w:pos="8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if not the Company, shall be a corporation organized and existing under the laws of Canada, any province or territory thereof, or the United States of America, any State thereof or the District of Columbia, and the Successor Company (if not the Company) shall expressly assume, by supplemental indenture, all of the obligations of the Company under the Notes and this Indenture;</w:t>
      </w:r>
    </w:p>
    <w:p>
      <w:pPr>
        <w:spacing w:after="0" w:line="18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this Indenture;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right="60" w:firstLine="656"/>
        <w:spacing w:after="0" w:line="266" w:lineRule="auto"/>
        <w:tabs>
          <w:tab w:leader="none" w:pos="8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Successor Company (if not the Company) being organized and existing under the laws of Canada or any province or territory thereof, the transaction will not result in such Successor Company being required to make any deduction or withholding on account of Canada taxes from any payments in respect of the Notes.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4" w:name="page65"/>
    <w:bookmarkEnd w:id="64"/>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deliver to the Trustee an Officer’s Certificate and an Opinion of Counsel, each stating that such consolidation, merger, sale, conveyance, transfer or lease and any supplemental indenture related thereto complies with this Indenture and that all conditions precedent contained in this Indenture relating to such transaction have been complied with.</w:t>
      </w:r>
    </w:p>
    <w:p>
      <w:pPr>
        <w:spacing w:after="0" w:line="17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Section 11.02 Successor Corporation to Be Substituted</w:t>
      </w:r>
      <w:r>
        <w:rPr>
          <w:rFonts w:ascii="Times New Roman" w:cs="Times New Roman" w:eastAsia="Times New Roman" w:hAnsi="Times New Roman"/>
          <w:sz w:val="18"/>
          <w:szCs w:val="18"/>
          <w:color w:val="auto"/>
        </w:rPr>
        <w:t>. In case of any such consolidation, amalgamation, merger, arrangement, combination,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amalgamation, merger, sale, conveyance or transfer (but not in the case of a lease), upon compliance with this Article 11 the Person named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9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amalgamation, merger, sale, conveyance, transfer or lease, such changes in phraseology and form (but not in substance) may be made in the Notes thereafter to be issued as may be appropriate.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2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12.01 Indenture and Notes Solely Corporate Obligations</w:t>
      </w:r>
      <w:r>
        <w:rPr>
          <w:rFonts w:ascii="Times New Roman" w:cs="Times New Roman" w:eastAsia="Times New Roman" w:hAnsi="Times New Roman"/>
          <w:sz w:val="18"/>
          <w:szCs w:val="18"/>
          <w:color w:val="auto"/>
        </w:rPr>
        <w:t>. No recourse for the payment of the principal of or accrued and unpaid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shareholder,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2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14.01 Conversion Privilege</w:t>
      </w:r>
      <w:r>
        <w:rPr>
          <w:rFonts w:ascii="Times New Roman" w:cs="Times New Roman" w:eastAsia="Times New Roman" w:hAnsi="Times New Roman"/>
          <w:sz w:val="18"/>
          <w:szCs w:val="18"/>
          <w:color w:val="auto"/>
        </w:rPr>
        <w:t>. (a) Subject to and upon compliance with the provisions of this Article 14, each Holder of a Note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October 15, 2030 under the circumstances and during the periods set forth in Section 14.01(b), and (ii) regardless of the conditions described in Section 14.01(b), on or after October 15, 2030 until the close of business on the second Scheduled Trading Day immediately preceding the Maturity Date, in each case, at an initial conversion rate of 145.6876 Common Shares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656"/>
        <w:spacing w:after="0" w:line="251"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close of business on the Business Day immediately preceding October 15, 2030, a Holder may surrender all or any portion of its Notes for conversion at any time during the five Business Day period after any five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Shares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of Notes provides the Company with reasonable evidence that the Trading Price per $1,000 principal amount of Notes on any Trading Day would be less than 98% of the product of the Last Reported Sale Price of the Common Shares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Shares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instructs the Bid Solicitation Agent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Shares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Shares and the Conversion Rate for such date, the Company shall provide a written notice to the Holders of the Notes, the Trustee and the Conversion Agent (if other than the Trustee).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ind w:left="1560" w:hanging="256"/>
        <w:spacing w:after="0"/>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October 15, 2030, the Company elects to:</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58" w:lineRule="auto"/>
        <w:tabs>
          <w:tab w:leader="none" w:pos="22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all or substantially all holders of the Common Shares any rights, options or warrants (other than in connection with a shareholder rights plan, so long as such rights have not separated from the Common Shares) entitling them, for a period of not more than forty five (45) calendar days after the issue date, to subscribe for or purchase Common Shares at a price per share that is less than the average of the Last Reported Sale Prices of the Common Shares for the 10 consecutive Trading Day period ending on, and including, the Trading Day immediately preceding the date of announcement of such issuance; or</w:t>
      </w:r>
    </w:p>
    <w:p>
      <w:pPr>
        <w:spacing w:after="0" w:line="183" w:lineRule="exact"/>
        <w:rPr>
          <w:rFonts w:ascii="Times New Roman" w:cs="Times New Roman" w:eastAsia="Times New Roman" w:hAnsi="Times New Roman"/>
          <w:sz w:val="18"/>
          <w:szCs w:val="18"/>
          <w:color w:val="auto"/>
        </w:rPr>
      </w:pPr>
    </w:p>
    <w:p>
      <w:pPr>
        <w:ind w:left="1300" w:right="100" w:firstLine="652"/>
        <w:spacing w:after="0" w:line="261" w:lineRule="auto"/>
        <w:tabs>
          <w:tab w:leader="none" w:pos="22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Common Shares the Company’s assets, securities or rights to purchase securities of the Company (other than pursuant to a shareholder rights plan, so long as such rights have not separated from the Common Shares), which distribution has a per share value, as reasonably determined by the Board of Directors, exceeding 10% of the Last Reported Sale Price of the Common Shares on the Trading Day preceding the date of announcement for such distribution,</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in either case, the Company shall notify all Holders of the Notes, the Trustee and the Conversion Agent (if other than the Trustee) in writing at least thirty (30) Scheduled Trading Days prior to the Ex-Dividend Date for such issuance or distribution.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 Notwithstanding anything to the contrary in the foregoing, if the Company elects Physical Settlement (to the extent the Company has not elected another Settlement Method to apply, including pursuant to Section 14.02(a)(ii) in the applicable notice in respect of any conversions that occur from, and including, the date of the notice to, and including the close of business on the Business Day immediately preceding the Ex-Dividend Date for such issuance or distribution (or, if earlier, the date the Company announce that such issuance or distribution will not take place) (the “distribution trigger irrevocable physical settlement period”), the Company will be permitted to provide no less than ten (10) Scheduled Trading Days’ notice prior to the Ex-Dividend Date for the applicable issuance or distribution. In that event, the Company shall be required to settle all conversions with a Conversion Date occurring during the distribution trigger irrevocable physical settlement period by Physical Settlement, and the Company shall describe the same in the notice.</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7" w:name="page68"/>
    <w:bookmarkEnd w:id="67"/>
    <w:p>
      <w:pPr>
        <w:ind w:left="-460" w:firstLine="644"/>
        <w:spacing w:after="0" w:line="252" w:lineRule="auto"/>
        <w:tabs>
          <w:tab w:leader="none" w:pos="5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transaction or event that constitutes a Fundamental Change or a Make-Whole Fundamental Change occurs prior to the close of business on the Business Day immediately preceding October 15, 2030, regardless of whether the Company is required to offer to repurchase the Notes pursuant to Section 15.02, (B) a Termination of Trading occurs, or (C) if the Company is a party to a consolidation, merger, amalgamation, arrangement, binding share exchange, combination or transfer or lease of all or substantially all of its assets that occurs prior to the close of business on the Business Day immediately preceding October 15, 2030, in each case under this clause (C), pursuant to which the Common Shares would be converted into cash, securities or other assets, all or any portion of a Holder’s Notes may be surrendered for conversion at any time from or after the date that is thirty (30) Scheduled Trading Days prior to the anticipated effective date of the transaction or event (or, if later, the earlier of (x) the Business Day after the Company gives notice of such transaction or event and (y) the actual effective date of such transaction) until thirty five (35) Trading Days after the actual effective date of such transaction or event or, if such transaction also constitutes a Fundamental Change, until the related Fundamental Change Repurchase Date. The Company shall notify Holders, the Trustee and the Conversion Agent (if other than the Trustee) (i) as promptly as practicable following the date the Company publicly announces such transaction or event but in no event less than thirty (30) Scheduled Trading Days prior to the anticipated effective date of such transaction or event; or (ii) if the Company does not have knowledge of such transaction or event at least thirty (30) Scheduled Trading Days prior to the anticipated effective date of such transaction or event, within one (1) Business Day after the date upon which the Company receives notice, or otherwise becomes aware, of such transaction or event, but in no event later than the actual effective date of such transaction or event.</w:t>
      </w:r>
    </w:p>
    <w:p>
      <w:pPr>
        <w:spacing w:after="0" w:line="195" w:lineRule="exact"/>
        <w:rPr>
          <w:rFonts w:ascii="Times New Roman" w:cs="Times New Roman" w:eastAsia="Times New Roman" w:hAnsi="Times New Roman"/>
          <w:sz w:val="18"/>
          <w:szCs w:val="18"/>
          <w:color w:val="auto"/>
        </w:rPr>
      </w:pPr>
    </w:p>
    <w:p>
      <w:pPr>
        <w:ind w:left="-460" w:right="40" w:firstLine="644"/>
        <w:spacing w:after="0" w:line="254" w:lineRule="auto"/>
        <w:tabs>
          <w:tab w:leader="none" w:pos="4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October 15, 2030, a Holder may surrender all or any portion of its Notes for conversion at any time during any calendar quarter commencing after the calendar quarter ending on March 31, 2026 (and only during such calendar quarter), if the Last Reported Sale Price of the Common Shares for at least twenty (20) Trading Days (whether or not consecutive) during the period of thirty (30) consecutive Trading Days ending on, and including, the last Trading Day of the immediately preceding calendar quarter is greater than or equal to 130% of the Conversion Price on each applicable Trading Day. If such a condition has been met, the Company will so notify the Holders, the Trustee and the Conversion Agent (if other than the Trustee) in writing. Neither the Trustee nor the Conversion Agent (if other than the Trustee) shall have any duty to determine or verify such determination by the Company pursuant to this clause (iv) or any similar determination by the Company that the Notes have become convertible in accordance with any condition set forth in this Section 14.01(b).</w:t>
      </w: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68" w:name="page69"/>
    <w:bookmarkEnd w:id="68"/>
    <w:p>
      <w:pPr>
        <w:ind w:left="640" w:firstLine="644"/>
        <w:spacing w:after="0" w:line="258" w:lineRule="auto"/>
        <w:tabs>
          <w:tab w:leader="none" w:pos="15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pursuant to Article 16 prior to the close of business on the Business Day immediately preceding October 15, 2030, then a Holder may convert all or any portion of its Notes at any time prior to the close of business on the second Scheduled Trading Day prior to the Redemption Date, even if the Notes are not otherwise convertible at such time. After that time, the right to convert pursuant to this subsection (b)(v) shall expire, unless the Company fails to pay the Redemption Price, in which case a Holder of Notes may convert such Notes until the Redemption Price has been paid or duly provided for.</w:t>
      </w:r>
    </w:p>
    <w:p>
      <w:pPr>
        <w:spacing w:after="0" w:line="183" w:lineRule="exact"/>
        <w:rPr>
          <w:rFonts w:ascii="Times New Roman" w:cs="Times New Roman" w:eastAsia="Times New Roman" w:hAnsi="Times New Roman"/>
          <w:sz w:val="18"/>
          <w:szCs w:val="18"/>
          <w:color w:val="auto"/>
        </w:rPr>
      </w:pPr>
    </w:p>
    <w:p>
      <w:pPr>
        <w:ind w:left="-20" w:right="100" w:firstLine="656"/>
        <w:spacing w:after="0" w:line="25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date that is five (5) years plus one day from the last date of original issuance of Notes (including any Notes issued pursuant to the Initial Purchasers’ option to purchase additional Notes as set forth in the Purchase Agreement), Holders would otherwise be entitled to receive, upon conversion of the Notes, any property (including cash) or securities that would not constitute “prescribed securities” for the purposes of clause 212(1)(b) (vii)(E) of the Tax Act as it applied for the 2007 taxation year (referred to herein as “</w:t>
      </w:r>
      <w:r>
        <w:rPr>
          <w:rFonts w:ascii="Times New Roman" w:cs="Times New Roman" w:eastAsia="Times New Roman" w:hAnsi="Times New Roman"/>
          <w:sz w:val="18"/>
          <w:szCs w:val="18"/>
          <w:b w:val="1"/>
          <w:bCs w:val="1"/>
          <w:color w:val="auto"/>
        </w:rPr>
        <w:t>Ineligible Consideration</w:t>
      </w:r>
      <w:r>
        <w:rPr>
          <w:rFonts w:ascii="Times New Roman" w:cs="Times New Roman" w:eastAsia="Times New Roman" w:hAnsi="Times New Roman"/>
          <w:sz w:val="18"/>
          <w:szCs w:val="18"/>
          <w:color w:val="auto"/>
        </w:rPr>
        <w:t>”), such Holders shall not be entitled to receive such Ineligible Consideration but the Company or the successor or acquirer, as the case may be, shall have the right (at the sole option of the Company or the successor or acquirer, as the case may be) to deliver either such Ineligible Consideration or “prescribed securities,” for the purposes of clause 212(1)(b)(vii)(E) of the Tax Act as it applied for the 2007 taxation year, with a market value equal to the market value of such Ineligible Consideration. The Company shall notify Holders, the Trustee and the Conversion Agent (if other than the Trustee) in writing as promptly as practicable following the date the Company publicly announces any applicable transaction but in no event less than thirty (30) Scheduled Trading Days prior to the anticipated effective date of such transaction, unless the Company previously agreed to a Physical Settlement for all such conversions, in which case the Company shall notify Holders, the Trustee and the Conversion Agent (if other than the Trustee) in writing no less than ten (10) Scheduled Trading Days prior to the anticipated effective date of such transaction. Such notice will also state the consideration into which the Notes will be convertible after the effective date of such transaction. After such notice, the Company or the successor or acquirer, as the case may be, may not change the consideration to be delivered upon conversion of the Notes except in accordance with the foregoing or any other provision of this Indenture.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Section 14.02 Conversion Procedure; Settlement Upon Conversion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firstLine="656"/>
        <w:spacing w:after="0" w:line="256"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Common Shares, together with cash, if applicable, in lieu of delivering any fractional share of Common Shares in accordance with subsection (j) of this Section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or a combination of cash and Common Shares, together with cash, if applicable, in lieu of delivering any fractional share of Common Shares in accordance with subsection (j) 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 14.02.</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69" w:name="page70"/>
    <w:bookmarkEnd w:id="69"/>
    <w:p>
      <w:pPr>
        <w:ind w:left="-460" w:right="360" w:firstLine="644"/>
        <w:spacing w:after="0" w:line="266" w:lineRule="auto"/>
        <w:tabs>
          <w:tab w:leader="none" w:pos="3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conversions (A) for which the relevant Conversion Date occurs on or after October 15, 2030, (B) for which the relevant Conversion Date occurs during a Redemption Period and (C) following the irrevocable election of a Settlement Method, in each case, shall be settled using the same Settlement Method.</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56" w:lineRule="auto"/>
        <w:tabs>
          <w:tab w:leader="none" w:pos="4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(A) for which the relevant Conversion Date occurs after the Company’s issuance of a Notice of Redemption with respect to the Notes but prior to the related Redemption Date, (B) for which the relevant Conversion Date occurs on or after October 15, 2030, (C) to the extent the Company elects Physical Settlement to apply pursuant to Section 14.01(b)(ii) and (D) following the Company’s irrevocable election of a Settlement Method, in each case, the Company shall use the same Settlement Method for all conversions with the same Conversion Date, but the Company shall not have any obligation to use the same Settlement Method with respect to conversions with different Conversion Dates.</w:t>
      </w:r>
    </w:p>
    <w:p>
      <w:pPr>
        <w:spacing w:after="0" w:line="187" w:lineRule="exact"/>
        <w:rPr>
          <w:rFonts w:ascii="Times New Roman" w:cs="Times New Roman" w:eastAsia="Times New Roman" w:hAnsi="Times New Roman"/>
          <w:sz w:val="18"/>
          <w:szCs w:val="18"/>
          <w:color w:val="auto"/>
        </w:rPr>
      </w:pPr>
    </w:p>
    <w:p>
      <w:pPr>
        <w:ind w:left="-460" w:firstLine="644"/>
        <w:spacing w:after="0" w:line="253" w:lineRule="auto"/>
        <w:tabs>
          <w:tab w:leader="none" w:pos="5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Company’s irrevocable election of a Settlement Method, if, in respect of any Conversion Date (or any conversions for which the relevant Conversion Date occurs during a Redemption Period, or for which the relevant Conversion Date occurs on or after October 15, 2030),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the Company, through the Trustee, shall deliver such Settlement Notice in writing to converting Holders no later than the close of business on the Trading Day immediately following the relevant Conversion Date (or, in the case of any conversions for which the relevant Conversion Date occurs (x) during a Redemption Period, in such Notice of Redemption, (y) on or after October 15, 2030, no later than October 15, 2030 or (z) for which the Company has irrevocably elected Physical Settlement to apply pursuant to Section 14.01(b)(ii)). If the Company does not elect a Settlement Method with respect to a Conversion Date prior to the deadline set forth in the immediately preceding sentence, the Company shall no longer have the right to elect Cash Settlement or Combination Settlement with respect to such Conversion Date, and the Company shall be deemed to have elected Physical Settlement in respect of its Conversion Obligation. Such Settlement Notice shall specify the relevant Settlement Method and in the case of an election of Combination Settlement, the relevant Settlement Notice shall indicate the Specified Dollar Amount. If the Company delivers a Settlement Notice electing Combination Settlement in respect of its Conversion Obligation but does not indicate a Specified Dollar Amount, the Specified Dollar Amount shall be deemed to be $1,000.</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ind w:left="-460" w:right="220" w:firstLine="644"/>
        <w:spacing w:after="0" w:line="254" w:lineRule="auto"/>
        <w:tabs>
          <w:tab w:leader="none" w:pos="4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to Holders of the Notes, the Trustee and the Conversion Agent (if other than the Trustee), the Company may prior to the close of business on the Scheduled Trading Date immediately preceding October 15, 2030, at the Company’s option, irrevocably elect to satisfy the Company’s Conversion Obligation with respect to the Notes through Combination Settlement with a specified dollar amount per $1,000 principal amount of Notes of at least $1,000 for all Conversion Dates occurring subsequent to the date that is five (5) years from the last date of original issuance of Notes and for which another Settlement Method does not otherwise apply. If the Company irrevocably elects Combination Settlement with an ability to continue to set the specified dollar amount per $1,000 principal amount of Notes at or above a specific amount, the Company shall, after the date of such election, either post the fixed Settlement Method on its website or disclose the same in a Material Change Report on Form 6-K (or any successor form) that is filed with the Commission.</w:t>
      </w:r>
    </w:p>
    <w:p>
      <w:pPr>
        <w:spacing w:after="0" w:line="187" w:lineRule="exact"/>
        <w:rPr>
          <w:rFonts w:ascii="Times New Roman" w:cs="Times New Roman" w:eastAsia="Times New Roman" w:hAnsi="Times New Roman"/>
          <w:sz w:val="18"/>
          <w:szCs w:val="18"/>
          <w:color w:val="auto"/>
        </w:rPr>
      </w:pPr>
    </w:p>
    <w:p>
      <w:pPr>
        <w:ind w:left="-460" w:right="500" w:firstLine="644"/>
        <w:spacing w:after="0" w:line="286"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Common Shares or combination of cash and Common Shares in respect of any conversion of Notes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shall be computed as follows:</w:t>
      </w:r>
    </w:p>
    <w:p>
      <w:pPr>
        <w:spacing w:after="0" w:line="158" w:lineRule="exact"/>
        <w:rPr>
          <w:rFonts w:ascii="Times New Roman" w:cs="Times New Roman" w:eastAsia="Times New Roman" w:hAnsi="Times New Roman"/>
          <w:sz w:val="18"/>
          <w:szCs w:val="18"/>
          <w:color w:val="auto"/>
        </w:rPr>
      </w:pPr>
    </w:p>
    <w:p>
      <w:pPr>
        <w:ind w:left="180" w:right="140" w:firstLine="652"/>
        <w:spacing w:after="0" w:line="261" w:lineRule="auto"/>
        <w:tabs>
          <w:tab w:leader="none" w:pos="11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Common Shares equal to the Conversion Rate (plus cash in lieu of any fractional Common Shares issuable upon conversion) in effect on the Conversion Date;</w:t>
      </w:r>
    </w:p>
    <w:p>
      <w:pPr>
        <w:spacing w:after="0" w:line="179" w:lineRule="exact"/>
        <w:rPr>
          <w:rFonts w:ascii="Times New Roman" w:cs="Times New Roman" w:eastAsia="Times New Roman" w:hAnsi="Times New Roman"/>
          <w:sz w:val="18"/>
          <w:szCs w:val="18"/>
          <w:color w:val="auto"/>
        </w:rPr>
      </w:pPr>
    </w:p>
    <w:p>
      <w:pPr>
        <w:ind w:left="180" w:right="160" w:firstLine="652"/>
        <w:spacing w:after="0" w:line="266" w:lineRule="auto"/>
        <w:tabs>
          <w:tab w:leader="none" w:pos="111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thirty (30) consecutive Trading Days during the related Observation Period; and</w:t>
      </w:r>
    </w:p>
    <w:p>
      <w:pPr>
        <w:spacing w:after="0" w:line="175" w:lineRule="exact"/>
        <w:rPr>
          <w:rFonts w:ascii="Times New Roman" w:cs="Times New Roman" w:eastAsia="Times New Roman" w:hAnsi="Times New Roman"/>
          <w:sz w:val="18"/>
          <w:szCs w:val="18"/>
          <w:color w:val="auto"/>
        </w:rPr>
      </w:pPr>
    </w:p>
    <w:p>
      <w:pPr>
        <w:jc w:val="both"/>
        <w:ind w:left="180" w:right="160" w:firstLine="652"/>
        <w:spacing w:after="0" w:line="261" w:lineRule="auto"/>
        <w:tabs>
          <w:tab w:leader="none" w:pos="111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thirty (30) consecutive Trading Days during the related Observation Period (plus cash in lieu of any fractional Common Shares issuable upon conversion).</w:t>
      </w:r>
    </w:p>
    <w:p>
      <w:pPr>
        <w:spacing w:after="0" w:line="179" w:lineRule="exact"/>
        <w:rPr>
          <w:rFonts w:ascii="Times New Roman" w:cs="Times New Roman" w:eastAsia="Times New Roman" w:hAnsi="Times New Roman"/>
          <w:sz w:val="18"/>
          <w:szCs w:val="18"/>
          <w:color w:val="auto"/>
        </w:rPr>
      </w:pPr>
    </w:p>
    <w:p>
      <w:pPr>
        <w:ind w:left="-460" w:firstLine="644"/>
        <w:spacing w:after="0" w:line="256" w:lineRule="auto"/>
        <w:tabs>
          <w:tab w:leader="none" w:pos="4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Shares, the Company shall notify the Trustee and the Conversion Agent (if other than the Trustee) in writing of the Daily Settlement Amounts or the Daily Conversion Values, as the case may be, and the amount of cash payable in lieu of delivering fractional Common Shares. The Trustee and the Conversion Agent (if other than the Trustee) shall have no responsibility for any such determination.</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71" w:name="page72"/>
    <w:bookmarkEnd w:id="71"/>
    <w:p>
      <w:pPr>
        <w:jc w:val="both"/>
        <w:ind w:firstLine="656"/>
        <w:spacing w:after="0" w:line="272" w:lineRule="auto"/>
        <w:tabs>
          <w:tab w:leader="none" w:pos="90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if required, pay any transfer or similar taxes, if any, and</w:t>
      </w:r>
    </w:p>
    <w:p>
      <w:pPr>
        <w:spacing w:after="0" w:line="1" w:lineRule="exact"/>
        <w:rPr>
          <w:rFonts w:ascii="Times New Roman" w:cs="Times New Roman" w:eastAsia="Times New Roman" w:hAnsi="Times New Roman"/>
          <w:sz w:val="17"/>
          <w:szCs w:val="17"/>
          <w:color w:val="auto"/>
        </w:rPr>
      </w:pPr>
    </w:p>
    <w:p>
      <w:pPr>
        <w:ind w:right="40" w:firstLine="8"/>
        <w:spacing w:after="0" w:line="251"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Definitive Note or any Global Notes that are converted outside of the Depositary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Common Shares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 to interest payable on the next Interest Payment Date to which such Holder is not entitled as set forth in Section 14.02(h) and (5) if required, pay all transfer or similar taxes, if any.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Offer Acceptance Notice to the Company in respect of such Notes and has not validly withdrawn such Fundamental Change Repurchase Offer Acceptance Notice in accordance with Section 15.03.</w:t>
      </w:r>
    </w:p>
    <w:p>
      <w:pPr>
        <w:spacing w:after="0" w:line="19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to the extent permitted by the Depositary’s applicable procedures, computed on the basis of the aggregate principal amount of the Notes (or specified portions thereof to the extent permitted thereby) so surrendered.</w:t>
      </w:r>
    </w:p>
    <w:p>
      <w:pPr>
        <w:spacing w:after="0" w:line="172" w:lineRule="exact"/>
        <w:rPr>
          <w:sz w:val="20"/>
          <w:szCs w:val="20"/>
          <w:color w:val="auto"/>
        </w:rPr>
      </w:pPr>
    </w:p>
    <w:p>
      <w:pPr>
        <w:ind w:firstLine="656"/>
        <w:spacing w:after="0" w:line="254" w:lineRule="auto"/>
        <w:tabs>
          <w:tab w:leader="none" w:pos="8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(provided that, with respect to any conversion following the Record Date immediately preceding the Maturity Date where Physical Settlement applies, the Company shall settle any such conversion on the Maturity Date or, if the Maturity Date is not a Business Day, the next succeeding Business Day, and the Conversion Date will be deemed to the second Business Day immediately before such date), or on the second Business Day immediately following the last Trading Day of the Observation Period, in the case of any other Settlement Method. If any Common Shares are due to a converting Holder, the Company shall issue or cause to be issued, and deliver (if applicable) to the Conversion Agent or to such Holder, or such Holder’s nominee or nominees, the full number of Common Shares to which such Holder shall be entitled, in book-entry format through the Depositary, in the case of Global Notes, or in certificated form, in the case of Definitive Notes (or in the case any Global Note is converted outside of the Depositary), in each case, in satisfaction of the Company’s Conversion Obligation.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20" w:right="20" w:firstLine="701"/>
        <w:spacing w:after="0" w:line="256" w:lineRule="auto"/>
        <w:tabs>
          <w:tab w:leader="none" w:pos="9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7" w:lineRule="exact"/>
        <w:rPr>
          <w:rFonts w:ascii="Times New Roman" w:cs="Times New Roman" w:eastAsia="Times New Roman" w:hAnsi="Times New Roman"/>
          <w:sz w:val="18"/>
          <w:szCs w:val="18"/>
          <w:color w:val="auto"/>
        </w:rPr>
      </w:pPr>
    </w:p>
    <w:p>
      <w:pPr>
        <w:ind w:left="-20" w:firstLine="656"/>
        <w:spacing w:after="0" w:line="258" w:lineRule="auto"/>
        <w:tabs>
          <w:tab w:leader="none" w:pos="8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due on the issuance of any Common Shares upon conversion, unless the tax is due because the Holder requests such shares to be issued in a name other than the Holder’s name, in which case the Holder shall pay that tax. The Conversion Agent may refuse to deliver the certificates representing the Common Shares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left="-20" w:right="360" w:firstLine="656"/>
        <w:spacing w:after="0" w:line="282" w:lineRule="auto"/>
        <w:tabs>
          <w:tab w:leader="none" w:pos="8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Common Shares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ind w:left="-20" w:right="40" w:firstLine="656"/>
        <w:spacing w:after="0" w:line="266" w:lineRule="auto"/>
        <w:tabs>
          <w:tab w:leader="none" w:pos="8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ind w:left="-20" w:right="20" w:firstLine="656"/>
        <w:spacing w:after="0" w:line="252" w:lineRule="auto"/>
        <w:tabs>
          <w:tab w:leader="none" w:pos="8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Common Shares, accrued and unpaid interest will be deemed to be paid first out of the cash paid upon such conversion.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However,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second Business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73" w:name="page74"/>
    <w:bookmarkEnd w:id="73"/>
    <w:p>
      <w:pPr>
        <w:ind w:right="80" w:firstLine="656"/>
        <w:spacing w:after="0" w:line="281" w:lineRule="auto"/>
        <w:tabs>
          <w:tab w:leader="none" w:pos="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in whose name the Common Shares shall be issuable upon conversion shall be treated as a shareholder of record as of the close of business on the relevant Conversion Date (if the Company elects (or is deemed to have elected)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64" w:lineRule="exact"/>
        <w:rPr>
          <w:rFonts w:ascii="Times New Roman" w:cs="Times New Roman" w:eastAsia="Times New Roman" w:hAnsi="Times New Roman"/>
          <w:sz w:val="17"/>
          <w:szCs w:val="17"/>
          <w:color w:val="auto"/>
        </w:rPr>
      </w:pPr>
    </w:p>
    <w:p>
      <w:pPr>
        <w:ind w:right="20" w:firstLine="656"/>
        <w:spacing w:after="0" w:line="256"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Shares upon conversion of the Notes and shall instead pay cash in lieu of delivering any fractional share of Common Shares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Combination Settlement, the full number of Common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Section 14.03 Increased Conversion Rate Applicable to Certain Notes Surrendered in Connection with Make-Whole Fundamental Changes or a Notice of Redemption</w:t>
      </w:r>
      <w:r>
        <w:rPr>
          <w:rFonts w:ascii="Times New Roman" w:cs="Times New Roman" w:eastAsia="Times New Roman" w:hAnsi="Times New Roman"/>
          <w:sz w:val="18"/>
          <w:szCs w:val="18"/>
          <w:color w:val="auto"/>
        </w:rPr>
        <w:t>. (a) If (i) (A) the Effective Date of a Make-Whole Fundamental Change occurs prior to the Maturity Date and a Holder elects to convert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connection with such a Make-Whole Fundamental Change or (B) the Company issues a Notice of Redemption as provided under Section 16.02 or Section 16.04, as applicable, and a Holder elects to convert its Notes during the related Redemption Period, the Company shall, under the circumstances described below, increase the Conversion Rate for the Notes so surrendered for conversion by a number of additional Common Shares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described below. A conversion of Notes shall be deemed for these purposes to be “in connection with” such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the proviso in clause (b) 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Notes will be deemed for these purposes to be “in connection with” a Notice of Redemption if the Notice of Conversion of the Notes is received by the Conversion Agent from, and including, the date of the Notice of Redemption until the close of business on the second Scheduled Trading Day immediately preceding the Redemption Date.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left="-20" w:firstLine="656"/>
        <w:spacing w:after="0" w:line="253" w:lineRule="auto"/>
        <w:tabs>
          <w:tab w:leader="none" w:pos="8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or during a Redemption Period, the Company shall, at its option, satisfy the related Conversion Obligation by Physical Settlement, Cash Settlement or Combination Settlement in accordance with Section 14.02, based on the Conversion Rate as increased to reflect the Additional Shares pursuant to the table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Share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such Share Price. In such event, the Conversion Obligation shall be determined and paid to Holders in cash on the second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Conversion Date. The Company shall notify the Holders of the Effective Date of any Make-Whole Fundamental Change and issue a press release announcing such Effective Date no later than the Business Day after such Effective Date.</w:t>
      </w:r>
    </w:p>
    <w:p>
      <w:pPr>
        <w:spacing w:after="0" w:line="194" w:lineRule="exact"/>
        <w:rPr>
          <w:rFonts w:ascii="Times New Roman" w:cs="Times New Roman" w:eastAsia="Times New Roman" w:hAnsi="Times New Roman"/>
          <w:sz w:val="18"/>
          <w:szCs w:val="18"/>
          <w:color w:val="auto"/>
        </w:rPr>
      </w:pPr>
    </w:p>
    <w:p>
      <w:pPr>
        <w:ind w:left="-20" w:right="60" w:firstLine="656"/>
        <w:spacing w:after="0" w:line="253" w:lineRule="auto"/>
        <w:tabs>
          <w:tab w:leader="none" w:pos="8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or the Redemption Notice Date, and the price (the “</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paid (or deemed to be paid) per Common Share in the Make-Whole Fundamental Change or on the Redemption Notice Date, as applicable. If the holders of the Common Shares receive in exchange for their Common Shares only cash in a Make-Whole Fundamental Change described in clause (b) of the definition of Fundamental Change, the Share Price shall be the cash amount paid per share. Otherwise, the Share Price shall be the average of the Last Reported Sale Prices of the Common Shares over the five Trading Day period ending on, and including, the Trading Day immediately preceding the applicable Effective Date. In the event that a conversion during a Redemption Period would also be deemed in connection with a Make-Whole Fundamental Change, a Holder of Notes to be converted shall be entitled to a single increase to the Conversion Rate with respect to the first to occur of the applicable Redemption Notice Date or the Effective Date of the applicable Make-Whole Fundamental Change, and the later event shall be deemed not to have occurred for purposes of this Section 14.03.</w:t>
      </w:r>
    </w:p>
    <w:p>
      <w:pPr>
        <w:spacing w:after="0" w:line="191" w:lineRule="exact"/>
        <w:rPr>
          <w:rFonts w:ascii="Times New Roman" w:cs="Times New Roman" w:eastAsia="Times New Roman" w:hAnsi="Times New Roman"/>
          <w:sz w:val="18"/>
          <w:szCs w:val="18"/>
          <w:color w:val="auto"/>
        </w:rPr>
      </w:pPr>
    </w:p>
    <w:p>
      <w:pPr>
        <w:jc w:val="both"/>
        <w:ind w:left="-20" w:right="20" w:firstLine="656"/>
        <w:spacing w:after="0" w:line="258"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 Prices set forth in the column headings of the table below shall be adjusted as of any date on which the Conversion Rate of the Notes is otherwise adjusted. The adjusted Share Prices shall equal the Share Prices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Share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75" w:name="page76"/>
    <w:bookmarkEnd w:id="75"/>
    <w:p>
      <w:pPr>
        <w:ind w:right="180" w:firstLine="656"/>
        <w:spacing w:after="0" w:line="282" w:lineRule="auto"/>
        <w:tabs>
          <w:tab w:leader="none" w:pos="8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by which the Conversion Rate shall be increased per $1,000 principal amount of Notes pursuant to this Section 14.03 for each Share Price and Effective Date or Redemption Notice Date set forth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 Price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Date/Redemption</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Notice Date</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$5.28</w:t>
            </w: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$5.81</w:t>
            </w: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$6.34</w:t>
            </w:r>
          </w:p>
        </w:tc>
        <w:tc>
          <w:tcPr>
            <w:tcW w:w="14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$6.86</w:t>
            </w:r>
          </w:p>
        </w:tc>
        <w:tc>
          <w:tcPr>
            <w:tcW w:w="1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$8.00</w:t>
            </w:r>
          </w:p>
        </w:tc>
        <w:tc>
          <w:tcPr>
            <w:tcW w:w="1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$8.92</w:t>
            </w:r>
          </w:p>
        </w:tc>
        <w:tc>
          <w:tcPr>
            <w:tcW w:w="1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$11.00</w:t>
            </w:r>
          </w:p>
        </w:tc>
        <w:tc>
          <w:tcPr>
            <w:tcW w:w="1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$13.00</w:t>
            </w:r>
          </w:p>
        </w:tc>
        <w:tc>
          <w:tcPr>
            <w:tcW w:w="10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$14.00</w:t>
            </w:r>
          </w:p>
        </w:tc>
        <w:tc>
          <w:tcPr>
            <w:tcW w:w="1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$15.00</w:t>
            </w:r>
          </w:p>
        </w:tc>
        <w:tc>
          <w:tcPr>
            <w:tcW w:w="1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$17.00</w:t>
            </w:r>
          </w:p>
        </w:tc>
        <w:tc>
          <w:tcPr>
            <w:tcW w:w="1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$19.00</w:t>
            </w:r>
          </w:p>
        </w:tc>
        <w:tc>
          <w:tcPr>
            <w:tcW w:w="1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$21.00</w:t>
            </w:r>
          </w:p>
        </w:tc>
        <w:tc>
          <w:tcPr>
            <w:tcW w:w="10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October 21, 2025</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43.7063</w:t>
            </w: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96"/>
              </w:rPr>
              <w:t>36.3012</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6"/>
              </w:rPr>
              <w:t>30.4274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25.7755</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18.2688</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14.0348</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7.9373</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4.6292</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93"/>
              </w:rPr>
              <w:t>3.5171</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2.6500</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1.4435</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0.7111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0.2862</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January 15, 2027</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43.7063</w:t>
            </w:r>
          </w:p>
        </w:tc>
        <w:tc>
          <w:tcPr>
            <w:tcW w:w="7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36.3012</w:t>
            </w:r>
          </w:p>
        </w:tc>
        <w:tc>
          <w:tcPr>
            <w:tcW w:w="7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30.4274</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25.7755</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18.2688</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14.0348</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7.8309</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4.4677</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3.3543</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2.4953</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1.3129</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0.6042</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0.1910</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8"/>
        </w:trPr>
        <w:tc>
          <w:tcPr>
            <w:tcW w:w="1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15, 2028</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43.7063</w:t>
            </w:r>
          </w:p>
        </w:tc>
        <w:tc>
          <w:tcPr>
            <w:tcW w:w="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36.3012</w:t>
            </w:r>
          </w:p>
        </w:tc>
        <w:tc>
          <w:tcPr>
            <w:tcW w:w="7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30.4274</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25.7755</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18.1688</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13.5572</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7.1727</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3.9046</w:t>
            </w: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2.8536</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2.0580</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0.9953</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0.3884</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0.0567</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January 15, 2029</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43.7063</w:t>
            </w:r>
          </w:p>
        </w:tc>
        <w:tc>
          <w:tcPr>
            <w:tcW w:w="7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36.3012</w:t>
            </w:r>
          </w:p>
        </w:tc>
        <w:tc>
          <w:tcPr>
            <w:tcW w:w="7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30.4274</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25.4548</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16.6688</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12.0045</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5.8336</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2.8885</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1.9936</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1.3407</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0.5200</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0.0963</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8"/>
        </w:trPr>
        <w:tc>
          <w:tcPr>
            <w:tcW w:w="1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15, 2030</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43.7063</w:t>
            </w:r>
          </w:p>
        </w:tc>
        <w:tc>
          <w:tcPr>
            <w:tcW w:w="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36.3012</w:t>
            </w:r>
          </w:p>
        </w:tc>
        <w:tc>
          <w:tcPr>
            <w:tcW w:w="7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28.1562</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22.0496</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13.0813</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8.6704</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3.4464</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1.3392</w:t>
            </w: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0.7793</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0.4047</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88"/>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15, 2031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43.7063</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26.4294</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12.0411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exact Share Price and Effective Date or Redemption Notice Date may not be set forth in the table above, in which case:</w:t>
      </w:r>
    </w:p>
    <w:p>
      <w:pPr>
        <w:spacing w:after="0" w:line="225" w:lineRule="exact"/>
        <w:rPr>
          <w:sz w:val="20"/>
          <w:szCs w:val="20"/>
          <w:color w:val="auto"/>
        </w:rPr>
      </w:pPr>
    </w:p>
    <w:p>
      <w:pPr>
        <w:ind w:left="660" w:right="40" w:firstLine="644"/>
        <w:spacing w:after="0" w:line="261" w:lineRule="auto"/>
        <w:tabs>
          <w:tab w:leader="none" w:pos="15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between two Share Prices in the table above or the Effective Date or Redemption Notice Date, as the case may be, is between two effective dates or Redemption Notice Dates, as applicable, in the table, the number of Additional Shares by which the conversion rate shall be increased shall be determined by a straight-line interpolation between the number of Additional Shares set forth for the higher and lower Share Prices and the earlier and later Effective Dates or Redemption Notice Dates, as applicable, based on a 365-day year;</w:t>
      </w:r>
    </w:p>
    <w:p>
      <w:pPr>
        <w:spacing w:after="0" w:line="179" w:lineRule="exact"/>
        <w:rPr>
          <w:rFonts w:ascii="Times New Roman" w:cs="Times New Roman" w:eastAsia="Times New Roman" w:hAnsi="Times New Roman"/>
          <w:sz w:val="18"/>
          <w:szCs w:val="18"/>
          <w:color w:val="auto"/>
        </w:rPr>
      </w:pPr>
    </w:p>
    <w:p>
      <w:pPr>
        <w:ind w:left="660" w:right="560" w:firstLine="644"/>
        <w:spacing w:after="0" w:line="282" w:lineRule="auto"/>
        <w:tabs>
          <w:tab w:leader="none" w:pos="15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greater than $26.00 per share (subject to adjustment in the same manner as the Share Prices set forth in the column headings of the table above pursuant to subsection (d) above), no Additional Shares shall be added to the Conversion Rate; and</w:t>
      </w:r>
    </w:p>
    <w:p>
      <w:pPr>
        <w:spacing w:after="0" w:line="161" w:lineRule="exact"/>
        <w:rPr>
          <w:rFonts w:ascii="Times New Roman" w:cs="Times New Roman" w:eastAsia="Times New Roman" w:hAnsi="Times New Roman"/>
          <w:sz w:val="18"/>
          <w:szCs w:val="18"/>
          <w:color w:val="auto"/>
        </w:rPr>
      </w:pPr>
    </w:p>
    <w:p>
      <w:pPr>
        <w:ind w:left="660" w:right="240" w:firstLine="644"/>
        <w:spacing w:after="0" w:line="282" w:lineRule="auto"/>
        <w:tabs>
          <w:tab w:leader="none" w:pos="16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less than $5.28 per share (subject to adjustment in the same manner as the Share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189.3939 Common Shares, subject to adjustment in the same manner as the Conversion Rate pursuant to Section 14.04.</w:t>
      </w:r>
    </w:p>
    <w:p>
      <w:pPr>
        <w:spacing w:after="0" w:line="162" w:lineRule="exact"/>
        <w:rPr>
          <w:sz w:val="20"/>
          <w:szCs w:val="20"/>
          <w:color w:val="auto"/>
        </w:rPr>
      </w:pPr>
    </w:p>
    <w:p>
      <w:pPr>
        <w:ind w:right="40" w:firstLine="656"/>
        <w:spacing w:after="0" w:line="282"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that would otherwise be required pursuant to Section 14.04 in respect of a Make-Whole Fundamental Change.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14.04 Adjustment of Conversion Rate</w:t>
      </w:r>
      <w:r>
        <w:rPr>
          <w:rFonts w:ascii="Times New Roman" w:cs="Times New Roman" w:eastAsia="Times New Roman" w:hAnsi="Times New Roman"/>
          <w:sz w:val="18"/>
          <w:szCs w:val="18"/>
          <w:color w:val="auto"/>
        </w:rPr>
        <w:t>. The Conversion Rate shall be adjusted from time to time by the Company, without duplication,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of the following events occurs, except that the Company shall not make any adjustments to the Conversion Rate if Holders of the Notes participate (other than in the case of (x) a share split or share consolidation or (y) a tender or exchange offer), at the same time and upon the same terms as holders of the Common Shares and solely as a result of holding the Notes, in any of the transactions described in this Section 14.04, without having to convert their Notes, as if they held a number of Common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right="100" w:firstLine="656"/>
        <w:spacing w:after="0" w:line="282" w:lineRule="auto"/>
        <w:tabs>
          <w:tab w:leader="none" w:pos="8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Common Shares as a dividend or distribution on all or substantially all of the outstanding Common Shares, or if the Company effects a share split or share consolidation,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114300</wp:posOffset>
            </wp:positionV>
            <wp:extent cx="1337310" cy="531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37310" cy="53149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2" w:right="540" w:hanging="332"/>
        <w:spacing w:after="0" w:line="282" w:lineRule="auto"/>
        <w:tabs>
          <w:tab w:leader="none" w:pos="3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 immediately prior to the open of business on the Effective Date of such share split or share consolidation, as applicable;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w:t>
      </w:r>
    </w:p>
    <w:p>
      <w:pPr>
        <w:spacing w:after="0" w:line="265" w:lineRule="exact"/>
        <w:rPr>
          <w:rFonts w:ascii="Times New Roman" w:cs="Times New Roman" w:eastAsia="Times New Roman" w:hAnsi="Times New Roman"/>
          <w:sz w:val="18"/>
          <w:szCs w:val="18"/>
          <w:color w:val="auto"/>
        </w:rPr>
      </w:pPr>
    </w:p>
    <w:p>
      <w:pPr>
        <w:ind w:left="332" w:right="100" w:hanging="332"/>
        <w:spacing w:after="0" w:line="282" w:lineRule="auto"/>
        <w:tabs>
          <w:tab w:leader="none" w:pos="3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outstanding immediately prior to the open of business on such Ex-Dividend Date or Effective Date (before giving effect to any such dividend, distribution, share split or share consolidation); and</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Common Shares outstanding immediately after giving effect to such dividend, distribution, share split or share consolidation.</w:t>
      </w:r>
    </w:p>
    <w:p>
      <w:pPr>
        <w:spacing w:after="0" w:line="276" w:lineRule="exact"/>
        <w:rPr>
          <w:sz w:val="20"/>
          <w:szCs w:val="20"/>
          <w:color w:val="auto"/>
        </w:rPr>
      </w:pPr>
    </w:p>
    <w:p>
      <w:pPr>
        <w:sectPr>
          <w:pgSz w:w="11900" w:h="16838" w:orient="portrait"/>
          <w:cols w:equalWidth="0" w:num="2">
            <w:col w:w="500" w:space="308"/>
            <w:col w:w="10412"/>
          </w:cols>
          <w:pgMar w:left="320" w:top="902" w:right="35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consolidation,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3" w:lineRule="exact"/>
        <w:rPr>
          <w:sz w:val="20"/>
          <w:szCs w:val="20"/>
          <w:color w:val="auto"/>
        </w:rPr>
      </w:pPr>
    </w:p>
    <w:p>
      <w:pPr>
        <w:ind w:right="60" w:firstLine="656"/>
        <w:spacing w:after="0" w:line="258" w:lineRule="auto"/>
        <w:tabs>
          <w:tab w:leader="none" w:pos="9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Shares any rights, options or warrants (other than in connection with a shareholder rights plan) entitling them, for a period of not more than forty five (45) calendar days after the announcement date of such issuance , to subscribe for or purchase Common Shares at a price per share that is less than the average of the Last Reported Sale Prices of the Common Shares for the 10 consecutive Trading Day period ending on, and including, the Trading Day immediately preceding the date of announcement of such issuance, the Conversion Rate shall be increased based on the following formula:</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type w:val="continuous"/>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586105</wp:posOffset>
            </wp:positionV>
            <wp:extent cx="1611630" cy="6172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60" w:type="dxa"/>
            <w:vAlign w:val="bottom"/>
          </w:tcPr>
          <w:p>
            <w:pPr>
              <w:spacing w:after="0"/>
              <w:rPr>
                <w:sz w:val="20"/>
                <w:szCs w:val="20"/>
                <w:color w:val="auto"/>
              </w:rPr>
            </w:pPr>
          </w:p>
        </w:tc>
        <w:tc>
          <w:tcPr>
            <w:tcW w:w="8440" w:type="dxa"/>
            <w:vAlign w:val="bottom"/>
          </w:tcPr>
          <w:p>
            <w:pPr>
              <w:spacing w:after="0"/>
              <w:rPr>
                <w:sz w:val="20"/>
                <w:szCs w:val="20"/>
                <w:color w:val="auto"/>
              </w:rPr>
            </w:pPr>
          </w:p>
        </w:tc>
      </w:tr>
      <w:tr>
        <w:trPr>
          <w:trHeight w:val="4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issuance;</w:t>
            </w:r>
          </w:p>
        </w:tc>
      </w:tr>
      <w:tr>
        <w:trPr>
          <w:trHeight w:val="57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number of Common Shares outstanding immediately prior to the open of business on such Ex-Dividend Date;</w:t>
            </w:r>
          </w:p>
        </w:tc>
      </w:tr>
    </w:tbl>
    <w:p>
      <w:pPr>
        <w:spacing w:after="0" w:line="126" w:lineRule="exact"/>
        <w:rPr>
          <w:sz w:val="20"/>
          <w:szCs w:val="20"/>
          <w:color w:val="auto"/>
        </w:rPr>
      </w:pPr>
    </w:p>
    <w:p>
      <w:pPr>
        <w:ind w:left="800" w:hanging="792"/>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Common Shares issuable pursuant to such rights, options or warrants; and</w:t>
      </w:r>
    </w:p>
    <w:p>
      <w:pPr>
        <w:spacing w:after="0" w:line="223" w:lineRule="exact"/>
        <w:rPr>
          <w:sz w:val="20"/>
          <w:szCs w:val="20"/>
          <w:color w:val="auto"/>
        </w:rPr>
      </w:pPr>
    </w:p>
    <w:p>
      <w:pPr>
        <w:ind w:left="1140" w:right="180" w:hanging="1132"/>
        <w:spacing w:after="0" w:line="267" w:lineRule="auto"/>
        <w:tabs>
          <w:tab w:leader="none" w:pos="8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Common Shares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Shares over the 10 consecutive Trading Day period ending on, and including, the Trading Day immediately preceding the date of announcement of the issuance of such rights, options or warrants.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such rights, options or warrants are not exercised prior to their expiration or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upon exercise of such rights, options or warrants. If such rights, options or warrants are not so issued or if no such right, option or warrant is exercised prior to its expiration, the Conversion Rate shall be decreased to the Conversion Rate that would then be in effect if such Ex-Dividend Date for such issuance had not occurred.</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for the purpose of Section 14.01(b)(ii)(A), in determining whether any rights, options or warrants entitle the holders of Common Shares to subscribe for or purchase the Common Shares at less than such average of the Last Reported Sale Prices of the Common Shares for the 10 consecutive Trading Day period ending on, and including, the Trading Day immediately preceding the date of announcement of such issuance, and in determining the aggregate offering price of such Common Shares,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ind w:right="80" w:firstLine="656"/>
        <w:spacing w:after="0" w:line="254" w:lineRule="auto"/>
        <w:tabs>
          <w:tab w:leader="none" w:pos="89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Common Shares, evidences of its indebtedness, other assets or property of the Company or rights, options or warrants to acquire its Common Shares or other securities, to all or substantially all holders of the Common Shares, excluding (i) dividends, distributions or issuances as to which an adjustment was effected pursuant to Section 14.04(a) or Section 14.04(b), (ii) distributions of Reference Property in exchange for, or upon conversion of, Common Shares in a Merger Event, (iii) dividends or distributions paid exclusively in cash as to which the provisions set forth in Section 14.04(d) shall apply, (iv) a distribution solely pursuant to a tender offer or exchange offer for Common Shares, as to which the provisions set forth in Section 14.01(e) shall apply; (v) except as otherwise described below, rights issued pursuant to a shareholder rights plan of the Company; and (vi) Spin-Offs as to which the provisions set forth below in this Section 14.04(c) shall apply (any of such shares of Common Shares, evidences of indebtedness, other assets or property or rights, options or warrants to acquire Common Shares or other securities, the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131445</wp:posOffset>
            </wp:positionV>
            <wp:extent cx="1920240" cy="539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2024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180"/>
          </w:cols>
          <w:pgMar w:left="320" w:top="904" w:right="39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the Conversion Rate in effect immediately prior to the open of business on the Ex-Dividend Date for such distribution;</w:t>
      </w:r>
    </w:p>
    <w:p>
      <w:pPr>
        <w:spacing w:after="0" w:line="211" w:lineRule="exact"/>
        <w:rPr>
          <w:sz w:val="20"/>
          <w:szCs w:val="20"/>
          <w:color w:val="auto"/>
        </w:rPr>
      </w:pPr>
    </w:p>
    <w:p>
      <w:pPr>
        <w:sectPr>
          <w:pgSz w:w="11900" w:h="16838" w:orient="portrait"/>
          <w:cols w:equalWidth="0" w:num="2">
            <w:col w:w="320" w:space="480"/>
            <w:col w:w="10380"/>
          </w:cols>
          <w:pgMar w:left="320" w:top="904" w:right="39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the Conversion Rate in effect immediately after the open of business on such Ex-Dividend Date;</w:t>
      </w:r>
    </w:p>
    <w:p>
      <w:pPr>
        <w:spacing w:after="0" w:line="215" w:lineRule="exact"/>
        <w:rPr>
          <w:sz w:val="20"/>
          <w:szCs w:val="20"/>
          <w:color w:val="auto"/>
        </w:rPr>
      </w:pPr>
    </w:p>
    <w:p>
      <w:pPr>
        <w:sectPr>
          <w:pgSz w:w="11900" w:h="16838" w:orient="portrait"/>
          <w:cols w:equalWidth="0" w:num="2">
            <w:col w:w="320" w:space="480"/>
            <w:col w:w="10380"/>
          </w:cols>
          <w:pgMar w:left="320" w:top="904" w:right="39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80" w:hanging="33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Shares over the 10 consecutive Trading Day period ending on, and including, the Trading Day immediately preceding the Ex-Dividend Date for such distribution; and</w:t>
      </w:r>
    </w:p>
    <w:p>
      <w:pPr>
        <w:spacing w:after="0" w:line="162" w:lineRule="exact"/>
        <w:rPr>
          <w:sz w:val="20"/>
          <w:szCs w:val="20"/>
          <w:color w:val="auto"/>
        </w:rPr>
      </w:pPr>
    </w:p>
    <w:p>
      <w:pPr>
        <w:sectPr>
          <w:pgSz w:w="11900" w:h="16838" w:orient="portrait"/>
          <w:cols w:equalWidth="0" w:num="2">
            <w:col w:w="420" w:space="720"/>
            <w:col w:w="10040"/>
          </w:cols>
          <w:pgMar w:left="320" w:top="904"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FMV</w:t>
      </w:r>
    </w:p>
    <w:p>
      <w:pPr>
        <w:spacing w:after="0" w:line="20" w:lineRule="exact"/>
        <w:rPr>
          <w:sz w:val="20"/>
          <w:szCs w:val="20"/>
          <w:color w:val="auto"/>
        </w:rPr>
      </w:pPr>
      <w:r>
        <w:rPr>
          <w:sz w:val="20"/>
          <w:szCs w:val="20"/>
          <w:color w:val="auto"/>
        </w:rPr>
        <w:br w:type="column"/>
      </w:r>
    </w:p>
    <w:p>
      <w:pPr>
        <w:jc w:val="both"/>
        <w:ind w:right="500" w:hanging="33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fair market value (as determined by the Board of Directors, taking into account the requirements of the principal U.S. national or regional securities exchange on which the Common Shares are then listed and TSX) of the Distributed Property with respect to each outstanding share of the Common Shares on the Ex-Dividend Date for such distribution.</w:t>
      </w:r>
    </w:p>
    <w:p>
      <w:pPr>
        <w:spacing w:after="0" w:line="176" w:lineRule="exact"/>
        <w:rPr>
          <w:sz w:val="20"/>
          <w:szCs w:val="20"/>
          <w:color w:val="auto"/>
        </w:rPr>
      </w:pPr>
    </w:p>
    <w:p>
      <w:pPr>
        <w:sectPr>
          <w:pgSz w:w="11900" w:h="16838" w:orient="portrait"/>
          <w:cols w:equalWidth="0" w:num="2">
            <w:col w:w="420" w:space="720"/>
            <w:col w:w="10040"/>
          </w:cols>
          <w:pgMar w:left="320" w:top="904" w:right="399" w:bottom="1440" w:gutter="0" w:footer="0" w:header="0"/>
          <w:type w:val="continuous"/>
        </w:sect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“FMV” (as defined above) is equal to or greater than “SP0” (as defined above), in lieu of the foregoing increase, each Holder shall receive, in respect of each $1,000 principal amount thereof, at the same time and upon the same terms as holders of the Common Shares receive the Distributed Property, the amount and kind of Distributed Property that such Holder would have received if such Holder owned a number of Common Shares equal to the Conversion Rate in effect immediately after the open of business on the Ex-Dividend Date for the distribution. 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upon the occurrence of certain triggering events, then the Company shall not adjust the Conversion Rate pursuant to the this Section 14.04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Common Shares actually delivered upon exercise of such rights, options or warrants.</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type w:val="continuous"/>
        </w:sectPr>
      </w:pPr>
    </w:p>
    <w:bookmarkStart w:id="79" w:name="page80"/>
    <w:bookmarkEnd w:id="79"/>
    <w:p>
      <w:pPr>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Shares of any class or series, or similar equity interest, of or relating to a Subsidiary or other business unit of the Company, that are, or, when issued, will be, listed or admitted for trading on a U.S. national securities exchange or reasonably comparable non-U.S. equivalent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125730</wp:posOffset>
            </wp:positionV>
            <wp:extent cx="1937385" cy="582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37385" cy="58293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2" w:hanging="332"/>
        <w:spacing w:after="0"/>
        <w:tabs>
          <w:tab w:leader="none" w:pos="3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in effect immediately prior to the end of the Valuation Period;</w:t>
      </w:r>
    </w:p>
    <w:p>
      <w:pPr>
        <w:spacing w:after="0" w:line="238"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in effect immediately after the end of the Valuation Period;</w:t>
      </w:r>
    </w:p>
    <w:p>
      <w:pPr>
        <w:spacing w:after="0" w:line="265" w:lineRule="exact"/>
        <w:rPr>
          <w:rFonts w:ascii="Times New Roman" w:cs="Times New Roman" w:eastAsia="Times New Roman" w:hAnsi="Times New Roman"/>
          <w:sz w:val="18"/>
          <w:szCs w:val="18"/>
          <w:color w:val="auto"/>
        </w:rPr>
      </w:pPr>
    </w:p>
    <w:p>
      <w:pPr>
        <w:ind w:left="332" w:right="40" w:hanging="332"/>
        <w:spacing w:after="0" w:line="261" w:lineRule="auto"/>
        <w:tabs>
          <w:tab w:leader="none" w:pos="3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Last Reported Sale Prices of the Common Shares or similar equity interest distributed to holders of the Common Shares applicable to one share of the Common Shares (determined by reference to the definition of Last Reported Sale Price as set forth in Section 1.01 as if references therein to Common Shares were to such Common Shares or similar equity interest) over the first 10 consecutive Trading Day period beginning on,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p>
      <w:pPr>
        <w:spacing w:after="0" w:line="50" w:lineRule="exact"/>
        <w:rPr>
          <w:sz w:val="20"/>
          <w:szCs w:val="20"/>
          <w:color w:val="auto"/>
        </w:rPr>
      </w:pPr>
    </w:p>
    <w:p>
      <w:pPr>
        <w:sectPr>
          <w:pgSz w:w="11900" w:h="16838" w:orient="portrait"/>
          <w:cols w:equalWidth="0" w:num="2">
            <w:col w:w="500" w:space="308"/>
            <w:col w:w="10412"/>
          </w:cols>
          <w:pgMar w:left="320" w:top="904" w:right="359" w:bottom="1440" w:gutter="0" w:footer="0" w:header="0"/>
          <w:type w:val="continuous"/>
        </w:sectPr>
      </w:pPr>
    </w:p>
    <w:p>
      <w:pPr>
        <w:spacing w:after="0"/>
        <w:tabs>
          <w:tab w:leader="none" w:pos="780" w:val="left"/>
          <w:tab w:leader="none" w:pos="1120" w:val="left"/>
        </w:tabs>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average of the Last Reported Sale Prices of the Common Shares over the Valuation Period.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80" w:name="page81"/>
    <w:bookmarkEnd w:id="80"/>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the reference to “10” in the preceding paragraph shall be deemed replaced with such lesser number of Trading Days as have elapsed between the Ex-Dividend Date for such Spin-Off and such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replaced with such lesser number of Trading Days as have elapsed between the Ex-Dividend Date for such Spin-Off and such Trading Day in determining the Conversion Rate as of such Trading Day. In addition, if the Ex-Dividend Date for such Spin-Off is after the 10th Trading Day immediately preceding, and including, the end of any Observation Period in respect of a conversion of Notes, references to “10” or “10th” in the preceding paragraph and this paragraph shall be deemed to be replaced, solely in respect of that conversion, with such lesser number of Trading Days as have elapsed from, and including, the Ex-Dividend Date of such Spin-Off to, and including, the last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Section 14.04(c) (and subject in all respect to Section 14.11), rights, options or warrants distributed by the Company to all holders of the Common Shares entitling them to subscribe for or purchase shares of Common Shares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Common Shares; (ii) are not exercisable; and (iii) are also issued in respect of future issuances of the Common Shares,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158" w:lineRule="exact"/>
        <w:rPr>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Common Shares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of the Clause A Distribution and the Clause B Distribution shall be deemed to be the Ex-Dividend Date of the Clause C Distribution and (II) any Common Shares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92" w:lineRule="exact"/>
        <w:rPr>
          <w:sz w:val="20"/>
          <w:szCs w:val="20"/>
          <w:color w:val="auto"/>
        </w:rPr>
      </w:pPr>
    </w:p>
    <w:p>
      <w:pPr>
        <w:jc w:val="both"/>
        <w:ind w:right="220" w:firstLine="656"/>
        <w:spacing w:after="0" w:line="266" w:lineRule="auto"/>
        <w:tabs>
          <w:tab w:leader="none" w:pos="9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Common Shares (excluding any dividend or distribution in connection with the liquidation, dissolution or winding up of the Company),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123190</wp:posOffset>
            </wp:positionV>
            <wp:extent cx="1731645" cy="6083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316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60" w:type="dxa"/>
            <w:vAlign w:val="bottom"/>
          </w:tcPr>
          <w:p>
            <w:pPr>
              <w:spacing w:after="0"/>
              <w:rPr>
                <w:sz w:val="20"/>
                <w:szCs w:val="20"/>
                <w:color w:val="auto"/>
              </w:rPr>
            </w:pPr>
          </w:p>
        </w:tc>
        <w:tc>
          <w:tcPr>
            <w:tcW w:w="10140" w:type="dxa"/>
            <w:vAlign w:val="bottom"/>
          </w:tcPr>
          <w:p>
            <w:pPr>
              <w:spacing w:after="0"/>
              <w:rPr>
                <w:sz w:val="20"/>
                <w:szCs w:val="20"/>
                <w:color w:val="auto"/>
              </w:rPr>
            </w:pPr>
          </w:p>
        </w:tc>
      </w:tr>
      <w:tr>
        <w:trPr>
          <w:trHeight w:val="4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dividend or distribution;</w:t>
            </w:r>
          </w:p>
        </w:tc>
      </w:tr>
      <w:tr>
        <w:trPr>
          <w:trHeight w:val="57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296"/>
        </w:trPr>
        <w:tc>
          <w:tcPr>
            <w:tcW w:w="660" w:type="dxa"/>
            <w:vAlign w:val="bottom"/>
          </w:tcPr>
          <w:p>
            <w:pPr>
              <w:spacing w:after="0" w:line="295" w:lineRule="exact"/>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Last Reported Sale Price of the Common Shares on the Trading Day immediately preceding the Ex-Dividend Date for such dividend or</w:t>
            </w:r>
          </w:p>
        </w:tc>
      </w:tr>
      <w:tr>
        <w:trPr>
          <w:trHeight w:val="234"/>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and</w:t>
            </w:r>
          </w:p>
        </w:tc>
      </w:tr>
    </w:tbl>
    <w:p>
      <w:pPr>
        <w:spacing w:after="0" w:line="193" w:lineRule="exact"/>
        <w:rPr>
          <w:sz w:val="20"/>
          <w:szCs w:val="20"/>
          <w:color w:val="auto"/>
        </w:rPr>
      </w:pPr>
    </w:p>
    <w:p>
      <w:pPr>
        <w:ind w:left="800" w:hanging="792"/>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Common Shares.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right="60"/>
        <w:spacing w:after="0" w:line="255"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at the same time and upon the same terms as holders of Common Shares, the amount of cash that such Holder would have received if such Holder owned a number of Common Shares equal to the Conversion Rate immediately prior to the open of business on the Ex-Dividend Date for such cash dividend or distribution.</w:t>
      </w:r>
    </w:p>
    <w:p>
      <w:pPr>
        <w:spacing w:after="0" w:line="189" w:lineRule="exact"/>
        <w:rPr>
          <w:sz w:val="20"/>
          <w:szCs w:val="20"/>
          <w:color w:val="auto"/>
        </w:rPr>
      </w:pPr>
    </w:p>
    <w:p>
      <w:pPr>
        <w:ind w:right="20" w:firstLine="656"/>
        <w:spacing w:after="0" w:line="258" w:lineRule="auto"/>
        <w:tabs>
          <w:tab w:leader="none" w:pos="8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Shares, to the extent that the cash and value of any other consideration included in the payment per share of the Common Shares exceeds the average of the Last Reported Sale Prices of the Common Shares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128270</wp:posOffset>
            </wp:positionV>
            <wp:extent cx="2271395"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713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60" w:type="dxa"/>
            <w:vAlign w:val="bottom"/>
          </w:tcPr>
          <w:p>
            <w:pPr>
              <w:spacing w:after="0"/>
              <w:rPr>
                <w:sz w:val="20"/>
                <w:szCs w:val="20"/>
                <w:color w:val="auto"/>
              </w:rPr>
            </w:pPr>
          </w:p>
        </w:tc>
        <w:tc>
          <w:tcPr>
            <w:tcW w:w="1034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w:t>
            </w:r>
          </w:p>
        </w:tc>
      </w:t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w:t>
            </w:r>
          </w:p>
        </w:tc>
      </w:t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aggregate value of all cash and any other consideration (as determined by the Board of Directors) paid or payable for Common Shares</w:t>
            </w:r>
          </w:p>
        </w:tc>
      </w:t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purchased in such tender or exchange offer;</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number of Common Shares outstanding immediately prior to the date such tender or exchange offer expires (prior to giving effect to the</w:t>
            </w:r>
          </w:p>
        </w:tc>
      </w:t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or exchange of all Common Shares accepted for purchase or exchange in such tender or exchange offer);</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perscript"/>
              </w:rPr>
              <w:t>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number of Common Shares outstanding immediately after the date such tender or exchange offer expires (after giving effect to the</w:t>
            </w:r>
          </w:p>
        </w:tc>
      </w:t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or exchange of all Common Shares accepted for purchase or exchange in such tender or exchange offer); and</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perscript"/>
              </w:rPr>
              <w:t>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Shares over the 10 consecutive Trading Day period commencing on, and</w:t>
            </w:r>
          </w:p>
        </w:tc>
      </w:t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including, the Trading Day next succeeding the date such tender or exchange offer expires.</w:t>
            </w:r>
          </w:p>
        </w:tc>
      </w:tr>
      <w:tr>
        <w:trPr>
          <w:trHeight w:val="677"/>
        </w:trPr>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904" w:right="339" w:bottom="1440" w:gutter="0" w:footer="0" w:header="0"/>
        </w:sectPr>
      </w:pPr>
    </w:p>
    <w:bookmarkStart w:id="83" w:name="page84"/>
    <w:bookmarkEnd w:id="83"/>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ten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Conversion Date in determining the Conversion Rate and (y) in respect of any conversion of Notes for which Cash Settlement or Combination Settlement is applicable, for any Trading Day that falls within the relevant Observation Period for such conversion and within the ten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Trading Day in determining the Conversion Rate as of such Trading Day. In addition, if the Trading Day next succeeding the date such tender or exchange offer expires is after the 10th Trading Day immediately preceding, and including, the end of the Observation Period in respect of a conversion of Notes, references to “10” or “10th” in the preceding paragraph and this paragraph shall be deemed to be replaced, solely in respect of that conversion, with such lesser number of Trading Days as have elapsed from, and including, the Trading Day next succeeding the date such tender or exchange offer expires to, and including, the last Trading Day of such Observation Period. If the Company or one of is Subsidiaries are obligated to purchase Common Shares pursuant to any such tender or exchange offer described in this Section 14.04(e) but the Company is, or such Subsidiary is, permanently prevented by applicable law from effecting any such purchase or all such purchases are rescinded, then the Conversion Rate will be decreased to be the Conversion Rate that would then be in effect if such tender or exchange offer had not been made or had been made on in respect of the purchases that have been effected.</w:t>
      </w:r>
    </w:p>
    <w:p>
      <w:pPr>
        <w:spacing w:after="0" w:line="192" w:lineRule="exact"/>
        <w:rPr>
          <w:sz w:val="20"/>
          <w:szCs w:val="20"/>
          <w:color w:val="auto"/>
        </w:rPr>
      </w:pPr>
    </w:p>
    <w:p>
      <w:pPr>
        <w:ind w:firstLine="656"/>
        <w:spacing w:after="0" w:line="256" w:lineRule="auto"/>
        <w:tabs>
          <w:tab w:leader="none" w:pos="8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Common Shares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Common Shares on an unadjusted basis and participate in the related dividend, distribution or other event giving rise to such adjustment.</w:t>
      </w:r>
    </w:p>
    <w:p>
      <w:pPr>
        <w:spacing w:after="0" w:line="187" w:lineRule="exact"/>
        <w:rPr>
          <w:rFonts w:ascii="Times New Roman" w:cs="Times New Roman" w:eastAsia="Times New Roman" w:hAnsi="Times New Roman"/>
          <w:sz w:val="18"/>
          <w:szCs w:val="18"/>
          <w:color w:val="auto"/>
        </w:rPr>
      </w:pPr>
    </w:p>
    <w:p>
      <w:pPr>
        <w:ind w:right="240" w:firstLine="656"/>
        <w:spacing w:after="0" w:line="282" w:lineRule="auto"/>
        <w:tabs>
          <w:tab w:leader="none" w:pos="9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Common Shares or any securities convertible into or exchangeable for Common Shares or the right to purchase Common Shares or such convertible or exchangeable securities.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4" w:name="page85"/>
    <w:bookmarkEnd w:id="84"/>
    <w:p>
      <w:pPr>
        <w:ind w:left="-20" w:firstLine="656"/>
        <w:spacing w:after="0" w:line="256" w:lineRule="auto"/>
        <w:tabs>
          <w:tab w:leader="none" w:pos="8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14.04, and subject to applicable exchange listing standards of Nasdaq and the TSX, the Company from time to time may increase the Conversion Rate by any amount for a period of at least twenty (20) Business Days if the Board of Directors determines that such increase would be in the Company’s best interest. In addition, subject to applicable exchange listing standards of Nasdaq and the TSX, the Company may (but is not required to) increase the Conversion Rate to avoid or diminish income tax to holders of Common Shares or rights to purchase Common Shares in connection with a dividend or distribution of Common Shares (or rights to acquire Common Shares) or similar event.</w:t>
      </w:r>
    </w:p>
    <w:p>
      <w:pPr>
        <w:spacing w:after="0" w:line="18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this Article 14, the Conversion Rate shall not be adjusted:</w:t>
      </w:r>
    </w:p>
    <w:p>
      <w:pPr>
        <w:spacing w:after="0" w:line="225" w:lineRule="exact"/>
        <w:rPr>
          <w:rFonts w:ascii="Times New Roman" w:cs="Times New Roman" w:eastAsia="Times New Roman" w:hAnsi="Times New Roman"/>
          <w:sz w:val="18"/>
          <w:szCs w:val="18"/>
          <w:color w:val="auto"/>
        </w:rPr>
      </w:pPr>
    </w:p>
    <w:p>
      <w:pPr>
        <w:ind w:left="640" w:right="140" w:firstLine="644"/>
        <w:spacing w:after="0" w:line="282" w:lineRule="auto"/>
        <w:tabs>
          <w:tab w:leader="none" w:pos="15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at a price below the Conversion Price or otherwise, other than any such issuance described in clause (a), (b) or (c) of this Section 14.04;</w:t>
      </w:r>
    </w:p>
    <w:p>
      <w:pPr>
        <w:spacing w:after="0" w:line="161" w:lineRule="exact"/>
        <w:rPr>
          <w:rFonts w:ascii="Times New Roman" w:cs="Times New Roman" w:eastAsia="Times New Roman" w:hAnsi="Times New Roman"/>
          <w:sz w:val="18"/>
          <w:szCs w:val="18"/>
          <w:color w:val="auto"/>
        </w:rPr>
      </w:pPr>
    </w:p>
    <w:p>
      <w:pPr>
        <w:ind w:left="640" w:right="540" w:firstLine="644"/>
        <w:spacing w:after="0" w:line="282" w:lineRule="auto"/>
        <w:tabs>
          <w:tab w:leader="none" w:pos="155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161" w:lineRule="exact"/>
        <w:rPr>
          <w:rFonts w:ascii="Times New Roman" w:cs="Times New Roman" w:eastAsia="Times New Roman" w:hAnsi="Times New Roman"/>
          <w:sz w:val="18"/>
          <w:szCs w:val="18"/>
          <w:color w:val="auto"/>
        </w:rPr>
      </w:pPr>
    </w:p>
    <w:p>
      <w:pPr>
        <w:ind w:left="640" w:right="220" w:firstLine="644"/>
        <w:spacing w:after="0" w:line="282" w:lineRule="auto"/>
        <w:tabs>
          <w:tab w:leader="none" w:pos="16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or options or rights to purchase those shares pursuant to any present or future employee, director or consultant benefit or incentive plan or program of or assumed by the Company or any of the Company’s Subsidiaries;</w:t>
      </w:r>
    </w:p>
    <w:p>
      <w:pPr>
        <w:spacing w:after="0" w:line="161" w:lineRule="exact"/>
        <w:rPr>
          <w:rFonts w:ascii="Times New Roman" w:cs="Times New Roman" w:eastAsia="Times New Roman" w:hAnsi="Times New Roman"/>
          <w:sz w:val="18"/>
          <w:szCs w:val="18"/>
          <w:color w:val="auto"/>
        </w:rPr>
      </w:pPr>
    </w:p>
    <w:p>
      <w:pPr>
        <w:ind w:left="640" w:right="100" w:firstLine="644"/>
        <w:spacing w:after="0" w:line="282" w:lineRule="auto"/>
        <w:tabs>
          <w:tab w:leader="none" w:pos="159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pursuant to any option, warrant, right or exercisable, exchangeable or convertible security not described in clause (iii) of this subsection and outstanding as of the date the Notes were first issued;</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of the Common Shares;</w:t>
      </w:r>
    </w:p>
    <w:p>
      <w:pPr>
        <w:spacing w:after="0" w:line="225" w:lineRule="exact"/>
        <w:rPr>
          <w:rFonts w:ascii="Times New Roman" w:cs="Times New Roman" w:eastAsia="Times New Roman" w:hAnsi="Times New Roman"/>
          <w:sz w:val="18"/>
          <w:szCs w:val="18"/>
          <w:color w:val="auto"/>
        </w:rPr>
      </w:pPr>
    </w:p>
    <w:p>
      <w:pPr>
        <w:ind w:left="640" w:right="740" w:firstLine="644"/>
        <w:spacing w:after="0" w:line="312" w:lineRule="auto"/>
        <w:tabs>
          <w:tab w:leader="none" w:pos="159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repurchase of any of the Common Shares pursuant to an open-market share repurchase program or other buy-back transaction that is not a tender or exchange offer, including pursuant to an “ordinary course issuer bid” over the facilities of the TSX; or</w:t>
      </w:r>
    </w:p>
    <w:p>
      <w:pPr>
        <w:spacing w:after="0" w:line="139" w:lineRule="exact"/>
        <w:rPr>
          <w:rFonts w:ascii="Times New Roman" w:cs="Times New Roman" w:eastAsia="Times New Roman" w:hAnsi="Times New Roman"/>
          <w:sz w:val="17"/>
          <w:szCs w:val="17"/>
          <w:color w:val="auto"/>
        </w:rPr>
      </w:pPr>
    </w:p>
    <w:p>
      <w:pPr>
        <w:ind w:left="1640" w:hanging="356"/>
        <w:spacing w:after="0"/>
        <w:tabs>
          <w:tab w:leader="none" w:pos="16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including Additional Amounts, if any.</w:t>
      </w:r>
    </w:p>
    <w:p>
      <w:pPr>
        <w:spacing w:after="0" w:line="225" w:lineRule="exact"/>
        <w:rPr>
          <w:rFonts w:ascii="Times New Roman" w:cs="Times New Roman" w:eastAsia="Times New Roman" w:hAnsi="Times New Roman"/>
          <w:sz w:val="18"/>
          <w:szCs w:val="18"/>
          <w:color w:val="auto"/>
        </w:rPr>
      </w:pPr>
    </w:p>
    <w:p>
      <w:pPr>
        <w:ind w:left="-20" w:right="680" w:firstLine="656"/>
        <w:spacing w:after="0" w:line="282" w:lineRule="auto"/>
        <w:tabs>
          <w:tab w:leader="none" w:pos="8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ind w:left="-20" w:right="80" w:firstLine="656"/>
        <w:spacing w:after="0" w:line="255" w:lineRule="auto"/>
        <w:tabs>
          <w:tab w:leader="none" w:pos="8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the aggregate of all such deferred adjustments equals or exceeds 1% of the Conversion Rate, (ii) regardless of whether the aggregate adjustment is less than 1% of the applicable Conversion Rate, (x) on the Conversion Date for any Notes (in the case of Physical Settlement), or (y) on each Trading Day of any Observation Period related to any conversion of Notes (in the case of Cash Settlement or Combination Settlement), and (iii) on the effective date of any Make-Whole Fundamental Change, Termination of Trading and/or Fundamental Change, in each case, unless the adjustment has already been made.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85" w:name="page86"/>
    <w:bookmarkEnd w:id="85"/>
    <w:p>
      <w:pPr>
        <w:ind w:right="60" w:firstLine="656"/>
        <w:spacing w:after="0" w:line="255"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8" w:lineRule="exact"/>
        <w:rPr>
          <w:rFonts w:ascii="Times New Roman" w:cs="Times New Roman" w:eastAsia="Times New Roman" w:hAnsi="Times New Roman"/>
          <w:sz w:val="18"/>
          <w:szCs w:val="18"/>
          <w:color w:val="auto"/>
        </w:rPr>
      </w:pPr>
    </w:p>
    <w:p>
      <w:pPr>
        <w:ind w:right="440" w:firstLine="656"/>
        <w:spacing w:after="0" w:line="266" w:lineRule="auto"/>
        <w:tabs>
          <w:tab w:leader="none" w:pos="9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Common Shares at any time outstanding shall not include Common Shares held in the treasury of the Company so long as the Company does not pay any dividend or make any distribution on Common Shares held in the treasury of the Company, but shall include Common Shares issuable in respect of scrip certificates issued in lieu of fractions of Common Shares.</w:t>
      </w:r>
    </w:p>
    <w:p>
      <w:pPr>
        <w:spacing w:after="0" w:line="175"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14.04, if: (i) a Note is to be converted, (ii) the Record Date or Effective Date for any event that requires an adjustment to the Conversion Rate pursuant to the provisions described in clauses (a) through (d) of this Section 14.04, inclusive, has occurred on or before the Conversion Date for such conversion, but an adjustment to the Conversion Rate for such event has not yet become effective as of such Conversion Date, (iii) the consideration due upon such conversion includes any whole Common Shares, and (iv) such Common Shares are not entitled to participate in such event (because they were not held on the related Record Date or otherwise), then, solely for purposes of such conversion, the Company shall, without duplication, give effect to such adjustment on such Conversion Date, and, for the avoidance of doubt, such Common Shares will not be entitled to participate in such event. In such case, if the date the Company is otherwise required to deliver the consideration due upon such conversion is before the first date on which the amount of such adjustment can be determined, then the Company shall delay the settlement of such conversion until the second Business Day after such first date.</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14.05 Adjustments of Prices. </w:t>
      </w:r>
      <w:r>
        <w:rPr>
          <w:rFonts w:ascii="Times New Roman" w:cs="Times New Roman" w:eastAsia="Times New Roman" w:hAnsi="Times New Roman"/>
          <w:sz w:val="18"/>
          <w:szCs w:val="18"/>
          <w:color w:val="auto"/>
        </w:rPr>
        <w:t>Whenever any provision of this Indenture requires the Company to calculate the Last Reported Sale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Daily VWAPs, the Daily Conversion Values or the Daily Settlement Amounts over a span of multiple days (including, without limitation, an Observation Period and the Share Price for purposes of a Make-Whole Fundamental Change or a Notice of Redemption), the Board of Directors shall, in good faith, make appropriate adjustments in a commercially reasonable manner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14.06 Shares to Be Fully Paid. </w:t>
      </w:r>
      <w:r>
        <w:rPr>
          <w:rFonts w:ascii="Times New Roman" w:cs="Times New Roman" w:eastAsia="Times New Roman" w:hAnsi="Times New Roman"/>
          <w:sz w:val="18"/>
          <w:szCs w:val="18"/>
          <w:color w:val="auto"/>
        </w:rPr>
        <w:t>The Company shall provide, free from preemptive rights, out of its authorized but unissued shares or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treasury, sufficient Common Shares to provide for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14.07 Effect of Recapitalizations, Reclassifications and Changes of the Common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00" w:hanging="244"/>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660" w:right="1040" w:firstLine="644"/>
        <w:spacing w:after="0" w:line="282" w:lineRule="auto"/>
        <w:tabs>
          <w:tab w:leader="none" w:pos="152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Shares (other than changes resulting from a share split or consolidation),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amalgamation, arrangement, binding share exchange or combination involving the Company,</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162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or other transfer to a third party of all or substantially all of the consolidated assets of the Company and the Company’s Subsidiaries 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Shares would be converted into, or exchanged for, shares, other securities or other property or assets (including cash or any combination thereof) (any such event, a “</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then, at and after the effective time of such Merger Event, the right to convert each $1,000 principal amount of Notes shall be changed into a right to convert such principal amount of Notes into the kind and amount of shares, other securities or other property or assets (including cash or any combination thereof) that a holder of a number of Common Shares equal to the Conversion Rate immediately prior to such Merger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meaning the kind and amount of Reference Property that a holder of one share of Common Shares are entitled to receive) upon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 Event and, prior to or at the effective time of such Merger Event, the Company or the successor or purchasing Person, as the case may be, shall execute with the Trustee a supplemental indenture permitted under Section 10.01(g) providing for such change in the right to convert each $1,000 principal amount of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and after the effective time of the Merger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Common Shares that the Company would have been required to deliver upon conversion of the Notes in accordance with Section 14.02 shall instead be deliverable in the amount and type of Reference Property that a holder of that number of Common Shares would have received in such Merger Event and (III) the Daily VWAP shall be calculated based on the value of a unit of Reference Property.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7" w:name="page88"/>
    <w:bookmarkEnd w:id="87"/>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Merger Event causes the Common Shares to be converted into, or exchanged for, the right to receive more than a single type of consideration (determined based in part upon any form of shareholder election), then (i) the Reference Property into which the Notes will be convertible shall be deemed to be the weighted average of the types and amounts of consideration actually received by the holders of Common Shares, and (ii) the unit of Reference Property for purposes of the immediately preceding paragraph shall refer to the consideration referred to in clause (i) of this paragraph attributable to one Common Share. If the holders of the Common Shares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Shares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supplemental indenture described in the second immediately preceding paragraph shall provide for anti-dilution and other adjustments that shall be as nearly equivalent as is possible to the adjustments provided for in this Article 14. If, in the case of any Merger Event, the Reference Property includes shares, securities or other property or assets (including any combination thereof) of a Person other than the Company or the successor or purchasing corporation, as the case may be, in such Merger Event, then such supplemental indenture shall also be executed by such other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87" w:lineRule="exact"/>
        <w:rPr>
          <w:sz w:val="20"/>
          <w:szCs w:val="20"/>
          <w:color w:val="auto"/>
        </w:rPr>
      </w:pPr>
    </w:p>
    <w:p>
      <w:pPr>
        <w:ind w:firstLine="656"/>
        <w:spacing w:after="0" w:line="256"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twenty (20) days after execution thereof. Failure to deliver such notice shall not affect the legality or validity of such supplemental indenture.</w:t>
      </w:r>
    </w:p>
    <w:p>
      <w:pPr>
        <w:spacing w:after="0" w:line="187" w:lineRule="exact"/>
        <w:rPr>
          <w:rFonts w:ascii="Times New Roman" w:cs="Times New Roman" w:eastAsia="Times New Roman" w:hAnsi="Times New Roman"/>
          <w:sz w:val="18"/>
          <w:szCs w:val="18"/>
          <w:color w:val="auto"/>
        </w:rPr>
      </w:pPr>
    </w:p>
    <w:p>
      <w:pPr>
        <w:ind w:right="400" w:firstLine="656"/>
        <w:spacing w:after="0" w:line="266" w:lineRule="auto"/>
        <w:tabs>
          <w:tab w:leader="none" w:pos="8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Merger Event unless its terms are consistent with this Section 14.07. None of the foregoing provisions shall affect the right of a holder of Notes to convert its Notes into cash, Common Shares or a combination of cash and Common Shares, as applicable, as set forth in Section 14.01 and Section 14.02 prior to the effective date of such Merger Event.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8" w:name="page89"/>
    <w:bookmarkEnd w:id="88"/>
    <w:p>
      <w:pPr>
        <w:ind w:left="900" w:hanging="244"/>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Merger Events.</w:t>
      </w:r>
    </w:p>
    <w:p>
      <w:pPr>
        <w:spacing w:after="0" w:line="221" w:lineRule="exact"/>
        <w:rPr>
          <w:rFonts w:ascii="Times New Roman" w:cs="Times New Roman" w:eastAsia="Times New Roman" w:hAnsi="Times New Roman"/>
          <w:sz w:val="18"/>
          <w:szCs w:val="18"/>
          <w:color w:val="auto"/>
        </w:rPr>
      </w:pPr>
    </w:p>
    <w:p>
      <w:pPr>
        <w:ind w:right="520" w:firstLine="656"/>
        <w:spacing w:after="0" w:line="286" w:lineRule="auto"/>
        <w:tabs>
          <w:tab w:leader="none" w:pos="8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any Merger Event, references to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shall be deemed to refer to any Reference Property that constitutes Common Equity after giving effect to such Merger Event.</w:t>
      </w:r>
    </w:p>
    <w:p>
      <w:pPr>
        <w:spacing w:after="0" w:line="158" w:lineRule="exact"/>
        <w:rPr>
          <w:rFonts w:ascii="Times New Roman" w:cs="Times New Roman" w:eastAsia="Times New Roman" w:hAnsi="Times New Roman"/>
          <w:sz w:val="18"/>
          <w:szCs w:val="18"/>
          <w:color w:val="auto"/>
        </w:rPr>
      </w:pPr>
    </w:p>
    <w:p>
      <w:pPr>
        <w:ind w:firstLine="656"/>
        <w:spacing w:after="0" w:line="253" w:lineRule="auto"/>
        <w:tabs>
          <w:tab w:leader="none" w:pos="8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prior to the date that is five (5) years plus one day from the last date of original issuance of Notes (including any Notes issued pursuant to the Initial Purchasers’ option to purchase additional Notes as set forth in the Purchase Agreement), Holders would otherwise be entitled to receive, upon conversion of the Notes, Ineligible Consideration, such Holders shall not be entitled to receive such Ineligible Consideration but the Company or the successor or acquirer, as the case may be, shall have the right (at the sole option of the Company or the successor or acquirer, as the case may be) to deliver either such Ineligible Consideration or “prescribed securities,” for the purposes of clause 212(1)(b)(vii)(E) of the Tax Act as it applied for the 2007 taxation year, with a market value equal to the market value of such Ineligible Consideration. The Company shall notify Holders, the Trustee and the Conversion Agent (if other than the Trustee) in writing as promptly as practicable following the date the Company publicly announces any applicable transaction but in no event less than thirty (30) Scheduled Trading Days prior to the anticipated effective date of such transaction, unless the Company previously agreed to a Physical Settlement for all such conversions, in which case the Company shall notify Holders, the Trustee and the Conversion Agent (if other than the Trustee) in writing no less than ten (10) Scheduled Trading Days prior to the anticipated effective date of such transaction. Such notice will also state the consideration into which the Notes will be convertible after the effective date of such transaction. After such notice, the Company or the successor or acquirer, as the case may be, may not change the consideration to be delivered upon conversion of the Notes except in accordance with the foregoing or any other provision of this Indenture.</w:t>
      </w:r>
    </w:p>
    <w:p>
      <w:pPr>
        <w:spacing w:after="0" w:line="185"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14.08 Certain Covenants. </w:t>
      </w:r>
      <w:r>
        <w:rPr>
          <w:rFonts w:ascii="Times New Roman" w:cs="Times New Roman" w:eastAsia="Times New Roman" w:hAnsi="Times New Roman"/>
          <w:sz w:val="18"/>
          <w:szCs w:val="18"/>
          <w:color w:val="auto"/>
        </w:rPr>
        <w:t>(a)The Company covenants that all Common Shares issued upon conversion of Notes will be fully paid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non-assessable by the Company and free from all taxes, liens and charges with respect to the issue thereof.</w:t>
      </w:r>
    </w:p>
    <w:p>
      <w:pPr>
        <w:spacing w:after="0" w:line="160" w:lineRule="exact"/>
        <w:rPr>
          <w:sz w:val="20"/>
          <w:szCs w:val="20"/>
          <w:color w:val="auto"/>
        </w:rPr>
      </w:pPr>
    </w:p>
    <w:p>
      <w:pPr>
        <w:ind w:right="20" w:firstLine="656"/>
        <w:spacing w:after="0" w:line="266"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Common Shares to be provided for the purpose of conversion of Notes hereunder require registration with or approval of any governmental authority under any federal or state law before such Common Shares may be validly issued upon conversion, the Company will, to the extent then permitted by the rules and interpretations of the Commission, secure such registration or approval, as the case may be.</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8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Shares shall be listed on any national securities exchange or automated quotation system the Company will list and keep listed, so long as the Common Shares shall be so listed on such exchange or automated quotation system, any Common Shares issuable upon conversion of the Notes.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14.09 Responsibility of Trustee. </w:t>
      </w:r>
      <w:r>
        <w:rPr>
          <w:rFonts w:ascii="Times New Roman" w:cs="Times New Roman" w:eastAsia="Times New Roman" w:hAnsi="Times New Roman"/>
          <w:sz w:val="18"/>
          <w:szCs w:val="18"/>
          <w:color w:val="auto"/>
        </w:rPr>
        <w:t>The Trustee and any other Conversion Agent shall not at any time be under any duty or responsibility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Common Shares, or of any securities, property or cash that may at any time be issued or delivered upon the conversion of any Note; and neither the Trustee nor any other Conversion Agent shall make any representations with respect thereto. Neither the Trustee nor any Conversion Agent shall be responsible for any failure of the Company to issue, transfer or deliver any Common Shares or share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or securities or property (including cash) receivable by Holders upon the conversion of their Notes after any event referred to in such Section 14.07 or to any adjustment to be made with respect thereto, but, subject to the provisions of Section 7.01, Section 7.02 and Section 7.07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14.10 Notice to Holders Prior to Certain Actions</w:t>
      </w:r>
      <w:r>
        <w:rPr>
          <w:rFonts w:ascii="Times New Roman" w:cs="Times New Roman" w:eastAsia="Times New Roman" w:hAnsi="Times New Roman"/>
          <w:sz w:val="18"/>
          <w:szCs w:val="18"/>
          <w:color w:val="auto"/>
        </w:rPr>
        <w:t>. In case of 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action by the Company or one of its Subsidiaries that would require an adjustment in the Conversion Rate pursuant to Section 14.04 or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 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voluntary or involuntary dissolution, liquidation or winding-up of the Company;</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ten (10) days prior to the applicable date hereinafter specified, a notice stating (i) the date on which a record is to be taken for the purpose of such action by the Company or one of its Subsidiaries or, if a record is not to be taken, the date as of which the holders of Common Shares of record are to be determined for the purposes of such action by the Company or one of its Subsidiaries, or (ii) the date on which such dissolution, liquidation or winding-up is expected to become effective or occur, and the date as of which it is expected that holders of Common Shares of record shall be entitled to exchange their Common Shares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0" w:name="page91"/>
    <w:bookmarkEnd w:id="90"/>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14.11 Shareholder Rights Plans. </w:t>
      </w:r>
      <w:r>
        <w:rPr>
          <w:rFonts w:ascii="Times New Roman" w:cs="Times New Roman" w:eastAsia="Times New Roman" w:hAnsi="Times New Roman"/>
          <w:sz w:val="18"/>
          <w:szCs w:val="18"/>
          <w:color w:val="auto"/>
        </w:rPr>
        <w:t>If the Company has a shareholder rights plan in effect upon conversion of the Notes, each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if any, issued upon such conversion shall be entitled to receive the appropriate number of rights, if any, and the certificates representing the Common Shares issued upon such conversion shall bear such legends, if any, in each case as may be provided by the terms of any such shareholder rights plan, as the same may be amended from time to time. However, if, prior to any conversion of Notes, the rights have separated from the Common Shares in accordance with the provisions of the applicable shareholder rights plan, the Conversion Rate shall be adjusted at the time of separation as if the Company distributed to all or substantially all holders of the Common Shares Distributed Property as provided in Section 14.04(c), subject to readjustment in the event of the expiration, termination or redemption of such rights.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15</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equirement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ffer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epurchase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15.01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15.02 Requirement to Offer to Repurchase Notes Upon a Fundamental Change.</w:t>
      </w:r>
    </w:p>
    <w:p>
      <w:pPr>
        <w:spacing w:after="0" w:line="227" w:lineRule="exact"/>
        <w:rPr>
          <w:sz w:val="20"/>
          <w:szCs w:val="20"/>
          <w:color w:val="auto"/>
        </w:rPr>
      </w:pPr>
    </w:p>
    <w:p>
      <w:pPr>
        <w:ind w:firstLine="656"/>
        <w:spacing w:after="0" w:line="254" w:lineRule="auto"/>
        <w:tabs>
          <w:tab w:leader="none" w:pos="8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occurs at any time, the Company shall be required to make an offer to repurchase for cash all of the outstanding Notes on the date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specified by the Company that is not less than twenty (20) Business Days or more than thirty five (35) Business Days following the date of the 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upon:</w:t>
      </w:r>
    </w:p>
    <w:p>
      <w:pPr>
        <w:spacing w:after="0" w:line="221" w:lineRule="exact"/>
        <w:rPr>
          <w:rFonts w:ascii="Times New Roman" w:cs="Times New Roman" w:eastAsia="Times New Roman" w:hAnsi="Times New Roman"/>
          <w:sz w:val="18"/>
          <w:szCs w:val="18"/>
          <w:color w:val="auto"/>
        </w:rPr>
      </w:pPr>
    </w:p>
    <w:p>
      <w:pPr>
        <w:ind w:left="660" w:right="200" w:firstLine="644"/>
        <w:spacing w:after="0" w:line="278" w:lineRule="auto"/>
        <w:tabs>
          <w:tab w:leader="none" w:pos="152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to the Paying Agent by a Holder of a duly completed notice (the “</w:t>
      </w:r>
      <w:r>
        <w:rPr>
          <w:rFonts w:ascii="Times New Roman" w:cs="Times New Roman" w:eastAsia="Times New Roman" w:hAnsi="Times New Roman"/>
          <w:sz w:val="17"/>
          <w:szCs w:val="17"/>
          <w:b w:val="1"/>
          <w:bCs w:val="1"/>
          <w:color w:val="auto"/>
        </w:rPr>
        <w:t>Fundamental Change Repurchase Offer Acceptance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in the form set forth in Attachment 2 to the Form of Note attached hereto as Exhibit A, if the Notes are Definitive Notes,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the Depositary’s procedures for surrendering interests in Global Notes, if the Notes are Global Notes, on or before the close of business on the Business Day immediately preceding the Fundamental Change Repurchase Date (and in the case of Definitive Notes, Holders must deliver such notice on or before the second Business Day immediately preceding the Fundamental Change Repurchase Date); and</w:t>
      </w: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91" w:name="page92"/>
    <w:bookmarkEnd w:id="91"/>
    <w:p>
      <w:pPr>
        <w:ind w:left="660" w:firstLine="644"/>
        <w:spacing w:after="0" w:line="261" w:lineRule="auto"/>
        <w:tabs>
          <w:tab w:leader="none" w:pos="15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Definitive Notes, to the Paying Agent at any time after delivery of the Fundamental Change Repurchase Offer Acceptance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Offer Acceptance Notice in respect of any Definitive Notes to be repurchased shall state:</w:t>
      </w:r>
    </w:p>
    <w:p>
      <w:pPr>
        <w:spacing w:after="0" w:line="225" w:lineRule="exact"/>
        <w:rPr>
          <w:sz w:val="20"/>
          <w:szCs w:val="20"/>
          <w:color w:val="auto"/>
        </w:rPr>
      </w:pPr>
    </w:p>
    <w:p>
      <w:pPr>
        <w:ind w:left="1520" w:hanging="216"/>
        <w:spacing w:after="0"/>
        <w:tabs>
          <w:tab w:leader="none" w:pos="1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the Notes are Global Notes, to accept the Fundamental Change repurchase offer, Holders must surrender their Notes in accordance with applicable Depositary procedures.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Offer Acceptance Notice contemplated by this Section 15.02 shall have the right to withdraw, in whole or in part, such Fundamental Change Repurchase Offer Acceptance Notice at any time prior to the close of business on the Business Day immediately preceding the Fundamental Change Repurchase Date (and in the case of Definitive Notes, Holders must withdraw such notice on or before the second Business Day immediately preceding the Fundamental Change Repurchase Date) by delivery of a written notice of withdrawal to the Paying Agent in accordance with Section 15.03.</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Offer Acceptance Notice or written notice of withdrawal thereof.</w:t>
      </w:r>
    </w:p>
    <w:p>
      <w:pPr>
        <w:spacing w:after="0" w:line="162" w:lineRule="exact"/>
        <w:rPr>
          <w:sz w:val="20"/>
          <w:szCs w:val="20"/>
          <w:color w:val="auto"/>
        </w:rPr>
      </w:pPr>
    </w:p>
    <w:p>
      <w:pPr>
        <w:ind w:right="120" w:firstLine="656"/>
        <w:spacing w:after="0" w:line="255" w:lineRule="auto"/>
        <w:tabs>
          <w:tab w:leader="none" w:pos="89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day after the occurrence of the effective date of a Fundamental Change, the Company shall provide to all Holders, the Trustee, the Conversion Agent (if other than the Trustee) and the Paying Agent (if other than the Trustee) a notice (the “</w:t>
      </w:r>
      <w:r>
        <w:rPr>
          <w:rFonts w:ascii="Times New Roman" w:cs="Times New Roman" w:eastAsia="Times New Roman" w:hAnsi="Times New Roman"/>
          <w:sz w:val="18"/>
          <w:szCs w:val="18"/>
          <w:b w:val="1"/>
          <w:bCs w:val="1"/>
          <w:color w:val="auto"/>
        </w:rPr>
        <w:t>Fundamental Change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occurrence of the effective date of the Fundamental Change and containing an offer to repurchase the outstanding Notes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Repurchase Date at the Fundamental Change Repurchase Price. In the case of Definitive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and in a press release or through such other public medium as the Company may use at that time. Each Fundamental Change Company Notice shall specify:</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2" w:name="page93"/>
    <w:bookmarkEnd w:id="92"/>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accept the repurchase offer pursuant to this Article 15;</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w:t>
      </w:r>
    </w:p>
    <w:p>
      <w:pPr>
        <w:spacing w:after="0" w:line="225" w:lineRule="exact"/>
        <w:rPr>
          <w:rFonts w:ascii="Times New Roman" w:cs="Times New Roman" w:eastAsia="Times New Roman" w:hAnsi="Times New Roman"/>
          <w:sz w:val="18"/>
          <w:szCs w:val="18"/>
          <w:color w:val="auto"/>
        </w:rPr>
      </w:pPr>
    </w:p>
    <w:p>
      <w:pPr>
        <w:ind w:left="660" w:firstLine="644"/>
        <w:spacing w:after="0" w:line="266" w:lineRule="auto"/>
        <w:tabs>
          <w:tab w:leader="none" w:pos="171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Offer Acceptance Notice has been delivered by a Holder may be converted only if the Holder withdraws the Fundamental Change Repurchase Offer Acceptance Notice in accordance with the terms of this Indenture; and</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for the Company to repurchase their Notes.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Company’s obligation to make an offer to repurchase to the Holders or affect the validity of the proceedings for the repurchase of the Notes pursuant to this Section 15.02.</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such notice in the Company’s name and at the Company’s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all cases, the text of such Fundamental Change Company Notice shall be prepared by the Company.</w:t>
      </w:r>
    </w:p>
    <w:p>
      <w:pPr>
        <w:spacing w:after="0" w:line="160" w:lineRule="exact"/>
        <w:rPr>
          <w:sz w:val="20"/>
          <w:szCs w:val="20"/>
          <w:color w:val="auto"/>
        </w:rPr>
      </w:pPr>
    </w:p>
    <w:p>
      <w:pPr>
        <w:ind w:right="80" w:firstLine="656"/>
        <w:spacing w:after="0" w:line="254"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as applicable). The Paying Agent will promptly return to the respective Holders thereof any Definitive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Offer Acceptance Notice with respect thereto shall be deemed to have been withdrawn.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15.03 Withdrawal of Fundamental Change Repurchase Offer Acceptance Notice. </w:t>
      </w:r>
      <w:r>
        <w:rPr>
          <w:rFonts w:ascii="Times New Roman" w:cs="Times New Roman" w:eastAsia="Times New Roman" w:hAnsi="Times New Roman"/>
          <w:sz w:val="18"/>
          <w:szCs w:val="18"/>
          <w:color w:val="auto"/>
        </w:rPr>
        <w:t>(a) A Fundamental Change Repurchase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Notice may be withdrawn (in whole or in part) in respect of Definitive Notes by means of a written notice of withdrawal delivered to the Paying Agent in accordance with this Section 15.03 at any time on or before the second Business Day immediately preceding the Fundamental Change Repurchase Date, specifying:</w:t>
      </w:r>
    </w:p>
    <w:p>
      <w:pPr>
        <w:spacing w:after="0" w:line="182" w:lineRule="exact"/>
        <w:rPr>
          <w:sz w:val="20"/>
          <w:szCs w:val="20"/>
          <w:color w:val="auto"/>
        </w:rPr>
      </w:pPr>
    </w:p>
    <w:p>
      <w:pPr>
        <w:ind w:left="660" w:right="320" w:firstLine="644"/>
        <w:spacing w:after="0" w:line="282" w:lineRule="auto"/>
        <w:tabs>
          <w:tab w:leader="none" w:pos="15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of the Note in respect of which such notice of withdrawal is being submitted, and</w:t>
      </w:r>
    </w:p>
    <w:p>
      <w:pPr>
        <w:spacing w:after="0" w:line="225" w:lineRule="exact"/>
        <w:rPr>
          <w:rFonts w:ascii="Times New Roman" w:cs="Times New Roman" w:eastAsia="Times New Roman" w:hAnsi="Times New Roman"/>
          <w:sz w:val="18"/>
          <w:szCs w:val="18"/>
          <w:color w:val="auto"/>
        </w:rPr>
      </w:pPr>
    </w:p>
    <w:p>
      <w:pPr>
        <w:ind w:left="660" w:right="280" w:firstLine="644"/>
        <w:spacing w:after="0" w:line="282" w:lineRule="auto"/>
        <w:tabs>
          <w:tab w:leader="none" w:pos="16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Offer Acceptance Notice, which portion must be in principal amounts of $1,000 or an integral multiple of $1,000;</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Notes are Global Notes, Holders may withdraw their Notes subject to repurchase at any time prior to the close of business on the Business Day immediately preceding the Fundamental Change Repurchase Date in accordance with applicable procedures of the Depositary.</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15.04 Deposit of Fundamental Change Repurchase Price. </w:t>
      </w:r>
      <w:r>
        <w:rPr>
          <w:rFonts w:ascii="Times New Roman" w:cs="Times New Roman" w:eastAsia="Times New Roman" w:hAnsi="Times New Roman"/>
          <w:sz w:val="18"/>
          <w:szCs w:val="18"/>
          <w:color w:val="auto"/>
        </w:rPr>
        <w:t>(a) The Company will deposit with the Trustee (or other Paying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appointed by the Company, or if the Company is acting as its own Paying Agent, set aside, segregate and hold in trust as provided in Section 4.04 and Section 7.05)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in the case of Global Notes, and on or before the second Business Day immediately preceding the Fundamental Change Repurchase Date, in the case of Definitive Notes)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92" w:lineRule="exact"/>
        <w:rPr>
          <w:sz w:val="20"/>
          <w:szCs w:val="20"/>
          <w:color w:val="auto"/>
        </w:rPr>
      </w:pPr>
    </w:p>
    <w:p>
      <w:pPr>
        <w:ind w:right="80" w:firstLine="656"/>
        <w:spacing w:after="0" w:line="256"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pay the Fundamental Change Repurchase Price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94" w:name="page95"/>
    <w:bookmarkEnd w:id="94"/>
    <w:p>
      <w:pPr>
        <w:ind w:right="560" w:firstLine="656"/>
        <w:spacing w:after="0" w:line="266" w:lineRule="auto"/>
        <w:tabs>
          <w:tab w:leader="none" w:pos="89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15.05 Covenant to Comply with Applicable Laws Upon Repurchase of Notes. </w:t>
      </w:r>
      <w:r>
        <w:rPr>
          <w:rFonts w:ascii="Times New Roman" w:cs="Times New Roman" w:eastAsia="Times New Roman" w:hAnsi="Times New Roman"/>
          <w:sz w:val="18"/>
          <w:szCs w:val="18"/>
          <w:color w:val="auto"/>
        </w:rPr>
        <w:t>In connection with any repurchase offer upon a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pursuant to this Article 15, the Company will, if required:</w:t>
      </w:r>
    </w:p>
    <w:p>
      <w:pPr>
        <w:spacing w:after="0" w:line="160" w:lineRule="exact"/>
        <w:rPr>
          <w:sz w:val="20"/>
          <w:szCs w:val="20"/>
          <w:color w:val="auto"/>
        </w:rPr>
      </w:pPr>
    </w:p>
    <w:p>
      <w:pPr>
        <w:ind w:firstLine="656"/>
        <w:spacing w:after="0" w:line="282" w:lineRule="auto"/>
        <w:tabs>
          <w:tab w:leader="none" w:pos="89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Rule 13e-4, Rule 14e-1 and any other tender offer rules under the Exchange Act that may then be applicable, and any requirements of Canadian securities laws that may then be applicable;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all materials required under applicable U.S. and Canadian securities laws or other applicable laws;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U.S. federal and state and Canadian securities laws in connection with any offer by the Company to repurchase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the Company shall not be required to repurchase, or to make an offer to repurchase, the Notes upon a Fundamental Change if a third party makes such an offer in the same manner, at the same time and otherwise in compliance with the requirements for such an offer made by the Company as if the Company made it, and such third party purchases all Notes properly surrendered and not validly withdrawn under its offer in the same manner, at the same time and otherwise in compliance with the requirements for an offer made by us as set forth in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p>
      <w:pPr>
        <w:spacing w:after="0" w:line="22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16.01 Optional Redemption. </w:t>
      </w:r>
      <w:r>
        <w:rPr>
          <w:rFonts w:ascii="Times New Roman" w:cs="Times New Roman" w:eastAsia="Times New Roman" w:hAnsi="Times New Roman"/>
          <w:sz w:val="18"/>
          <w:szCs w:val="18"/>
          <w:color w:val="auto"/>
        </w:rPr>
        <w:t>Subject to Section 16.03, the Notes shall not be redeemable by the Company prior to October 20, 2028.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October 20, 2028, the Company may redeem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for cash all or any portion of the Notes, at its option, at the Redemption Price, if the Last Reported Sale Price of the Common Shares for at least twenty (20) Trading Days (whether or not consecutive) during any thirty (30) consecutive Trading Day period (including the last Trading Day of such period) ending on, and including, the Trading Day immediately preceding the date on which the Company provides the Notice of Optional Redemption in accordance with Section 16.02 has been at least 130% of the Conversion Price then in effect on each such Trading Day.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16.02 Notice of Optional Redemption; Selection of Notes. </w:t>
      </w:r>
      <w:r>
        <w:rPr>
          <w:rFonts w:ascii="Times New Roman" w:cs="Times New Roman" w:eastAsia="Times New Roman" w:hAnsi="Times New Roman"/>
          <w:sz w:val="18"/>
          <w:szCs w:val="18"/>
          <w:color w:val="auto"/>
        </w:rPr>
        <w:t>(a) In case the Company exercises its Optional Redemption right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 the case may be, any part of the Notes pursuant to Section 16.01, it shall fix a Redemption Date and it or, at its written request received by the Trustee not less than five (5) Business Days prior to the date such Notice of Optional Redemption is to be sent (or such shorter period of time as may be acceptable to the Trustee), the Trustee, in the name of and at the expense of the Company, shall deliver or cause to be delivered a notice of such Optional Redemption (a “</w:t>
      </w:r>
      <w:r>
        <w:rPr>
          <w:rFonts w:ascii="Times New Roman" w:cs="Times New Roman" w:eastAsia="Times New Roman" w:hAnsi="Times New Roman"/>
          <w:sz w:val="18"/>
          <w:szCs w:val="18"/>
          <w:b w:val="1"/>
          <w:bCs w:val="1"/>
          <w:color w:val="auto"/>
        </w:rPr>
        <w:t>Notice of Optional Redemption</w:t>
      </w:r>
      <w:r>
        <w:rPr>
          <w:rFonts w:ascii="Times New Roman" w:cs="Times New Roman" w:eastAsia="Times New Roman" w:hAnsi="Times New Roman"/>
          <w:sz w:val="18"/>
          <w:szCs w:val="18"/>
          <w:color w:val="auto"/>
        </w:rPr>
        <w:t xml:space="preserve">”) not less than forty (40) nor more than seventy (70) Scheduled Trading Days prior to the Redemption Date to each Holder so to be redeemed as a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shall give such notice, it shall also give the Notice of Optional Redemption to the Trustee and the Paying Agent (if other than the Trustee);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Company elects Physical Settlement in such Notice of Optional Redemption in respect of all conversions with a Conversion Date that occurs on or after the date the Company provides such Notice of Optional Redemption and before the related Redemption Date in accordance with Section 14.02(a)(iii) or if Physical Settlement otherwise applies as a result of the Company’s irrevocable election, in each case the Company may provide such notice not less than fifteen (15) nor more than seventy five (75) calendar days before such Redemption Date. The Redemption Date must be a Business Day and must be on or prior to the second Scheduled Trading Day immediately preceding the Maturity Date.</w:t>
      </w:r>
    </w:p>
    <w:p>
      <w:pPr>
        <w:spacing w:after="0" w:line="192" w:lineRule="exact"/>
        <w:rPr>
          <w:sz w:val="20"/>
          <w:szCs w:val="20"/>
          <w:color w:val="auto"/>
        </w:rPr>
      </w:pPr>
    </w:p>
    <w:p>
      <w:pPr>
        <w:ind w:right="80" w:firstLine="656"/>
        <w:spacing w:after="0" w:line="261"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Optional Redemption, if delivered in the manner herein provided, shall be conclusively presumed to have been duly given, whether or not the Holder receives such notice. In any case, failure to give such Notice of Optional Redemption or any defect in the Notice of Optional Redemption to the Holder of any Note designated for redemption as a whole or in part shall not affect the validity of the proceedings for the redemption of any other Note.</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Optional Redemption shall specify: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62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the Redemption Date;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15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may surrender their Notes for conversion at any time prior to the close of business on the second Scheduled Trading Day immediately preceding the Redemption Date;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Shares added to the Conversion Rate in accordance with 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14.03;</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96" w:name="page97"/>
    <w:bookmarkEnd w:id="96"/>
    <w:p>
      <w:pPr>
        <w:ind w:left="660" w:right="460" w:firstLine="644"/>
        <w:spacing w:after="0" w:line="312" w:lineRule="auto"/>
        <w:tabs>
          <w:tab w:leader="none" w:pos="161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Optional Redemption shall be irrevocable.</w:t>
      </w:r>
    </w:p>
    <w:p>
      <w:pPr>
        <w:spacing w:after="0" w:line="225" w:lineRule="exact"/>
        <w:rPr>
          <w:sz w:val="20"/>
          <w:szCs w:val="20"/>
          <w:color w:val="auto"/>
        </w:rPr>
      </w:pPr>
    </w:p>
    <w:p>
      <w:pPr>
        <w:ind w:right="80" w:firstLine="656"/>
        <w:spacing w:after="0" w:line="277" w:lineRule="auto"/>
        <w:tabs>
          <w:tab w:leader="none" w:pos="90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fewer than all of the outstanding Notes are to be redeemed, the Notes to be redeemed will be selected, in the case of Notes represented by a Global Note, according to the Depositary’s applicable procedures, or, in the case of Notes represented by a Definitive Note, the Trustee shall select the Notes or portions thereof to be redeemed (in principal amounts of $1,000 or multiples thereof) by lot or on </w:t>
      </w:r>
      <w:r>
        <w:rPr>
          <w:rFonts w:ascii="Times New Roman" w:cs="Times New Roman" w:eastAsia="Times New Roman" w:hAnsi="Times New Roman"/>
          <w:sz w:val="17"/>
          <w:szCs w:val="17"/>
          <w:i w:val="1"/>
          <w:iCs w:val="1"/>
          <w:color w:val="auto"/>
        </w:rPr>
        <w:t>a pro rata</w:t>
      </w:r>
      <w:r>
        <w:rPr>
          <w:rFonts w:ascii="Times New Roman" w:cs="Times New Roman" w:eastAsia="Times New Roman" w:hAnsi="Times New Roman"/>
          <w:sz w:val="17"/>
          <w:szCs w:val="17"/>
          <w:color w:val="auto"/>
        </w:rPr>
        <w:t xml:space="preserve"> basis.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6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16.03 Redemption of Notes for Changes in Canadian Tax Law. </w:t>
      </w:r>
      <w:r>
        <w:rPr>
          <w:rFonts w:ascii="Times New Roman" w:cs="Times New Roman" w:eastAsia="Times New Roman" w:hAnsi="Times New Roman"/>
          <w:sz w:val="18"/>
          <w:szCs w:val="18"/>
          <w:color w:val="auto"/>
        </w:rPr>
        <w:t>The Company may redeem (a “</w:t>
      </w: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 for cash all, but not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Notes, at its option, if the Company has, or on the next Interest Payment Date would, become obligated to pay to the Holder of any Notes Additional Amounts (which are more than a de minimis amount) as a result of any change or amendment that is announced or becomes effective on or after the date of the Offering Memorandum in the laws or regulations of a Relevant Taxing Jurisdiction, or any change that is announced on or after the date of the Offering Memorandum in an interpretation, administration or application of such laws or regulations by any legislative body, court, governmental agency, taxing authority or regulatory authority (including the enactment of any legislation and the publication of any judicial decision or regulatory or administrative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only redeem the Notes under this Section 16.03 if (x) it cannot avoid these obligations by taking reasonable measures available to it and (y) it delivers to the Trustee an Opinion of Counsel specializing in taxation and an Officer’s Certificate, in each case, attesting to such change and obligation to pay Additional Amounts. The Trustee will have no obligation or liability to determine whether any such change in law exists and whether the Company has taken measures necessary to avoid these obligations.</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16.04 Notice of Tax Redemption. </w:t>
      </w:r>
      <w:r>
        <w:rPr>
          <w:rFonts w:ascii="Times New Roman" w:cs="Times New Roman" w:eastAsia="Times New Roman" w:hAnsi="Times New Roman"/>
          <w:sz w:val="18"/>
          <w:szCs w:val="18"/>
          <w:color w:val="auto"/>
        </w:rPr>
        <w:t>(a) In case the Company exercises its Tax Redemption right to redeem all of the Notes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16.03, it shall fix a Redemption Date and it or, at its written request received by the Trustee not less than five (5) Business Days prior to the date such Notice of Tax Redemption is to be sent (or such shorter period of time as may be acceptable to the Trustee), the Trustee, in the name of and at the expense of the Company, shall deliver or cause to be delivered a notice of such Tax Redemption (a “</w:t>
      </w:r>
      <w:r>
        <w:rPr>
          <w:rFonts w:ascii="Times New Roman" w:cs="Times New Roman" w:eastAsia="Times New Roman" w:hAnsi="Times New Roman"/>
          <w:sz w:val="18"/>
          <w:szCs w:val="18"/>
          <w:b w:val="1"/>
          <w:bCs w:val="1"/>
          <w:color w:val="auto"/>
        </w:rPr>
        <w:t>Notice of Tax Redemption</w:t>
      </w:r>
      <w:r>
        <w:rPr>
          <w:rFonts w:ascii="Times New Roman" w:cs="Times New Roman" w:eastAsia="Times New Roman" w:hAnsi="Times New Roman"/>
          <w:sz w:val="18"/>
          <w:szCs w:val="18"/>
          <w:color w:val="auto"/>
        </w:rPr>
        <w:t xml:space="preserve">”) not less than forty (40) nor more than seventy (70) Scheduled Trading Days prior to the Redemption Date to each 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(x) the Company shall not give a Notice of Tax Redemption earlier than seventy (70) Scheduled Trading Days prior to the earliest date on or from which the Company would be obligated to pay any such Additional Amounts; and (y) at the time the Company gives a Notice of Tax Redemption, the circumstances creating the Company’s obligation to pay such Additional Amounts remain in effect; and (z) if the Company shall give such notice, it shall also give the Notice of Tax Redemption to the Trustee and the Paying Agent (if other than the Trustee). The Redemption Date must be a Business Day and must be on or prior to the second Business Day immediately preceding the Maturity Date.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7" w:name="page98"/>
    <w:bookmarkEnd w:id="97"/>
    <w:p>
      <w:pPr>
        <w:ind w:right="180" w:firstLine="656"/>
        <w:spacing w:after="0" w:line="289" w:lineRule="auto"/>
        <w:tabs>
          <w:tab w:leader="none" w:pos="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of Tax Redemption, if delivered in the manner herein provided, shall be conclusively presumed to have been duly given, whether or not the Holder receives such notice. In any case, failure to give such Notice of Tax Redemption or any defect in the Notice of Tax Redemption to the Holder of any Note designated for redemption as a whole or in part shall not affect the validity of the proceedings for the redemption of any other Note.</w:t>
      </w:r>
    </w:p>
    <w:p>
      <w:pPr>
        <w:spacing w:after="0" w:line="157" w:lineRule="exact"/>
        <w:rPr>
          <w:rFonts w:ascii="Times New Roman" w:cs="Times New Roman" w:eastAsia="Times New Roman" w:hAnsi="Times New Roman"/>
          <w:sz w:val="17"/>
          <w:szCs w:val="17"/>
          <w:color w:val="auto"/>
        </w:rPr>
      </w:pPr>
    </w:p>
    <w:p>
      <w:pPr>
        <w:ind w:left="900" w:hanging="244"/>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Tax Redemption shall specify: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62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the Redemption Date;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156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may surrender their Notes for conversion at any time prior to the close of business on the second Scheduled Trading Day immediately preceding the Redemption Date;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Shares added to the Conversion Rate in accordance with 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14.03;</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1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Holder who does not wish to have the Company redeem its Notes will have the right to elect to not have its Notes redeemed and the procedures for making such election.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Tax Redemption shall be irrevocable.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ind w:firstLine="656"/>
        <w:spacing w:after="0" w:line="254"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receiving such Notice of Tax Redemption, each Holder who does not wish to have the Company redeem its Notes will have the right to elect to (i) convert its Notes; or (ii) not have its Notes redeemed, in which case the Company will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upon any Optional Redemption as described under Section 16.01, maturity or otherwise, and whether in cash, Common Shares, Reference Property or otherwise) after the Redemption Date for such Tax Redemption (or, if the Company fails to pay the Redemption Price on the Redemption Date, such later date on which the Company pays the Redemption Price), and all future payments with respect to such Notes will be subject to the deduction or withholding of such Relevant Taxing Jurisdiction taxes required by law to be deducted or withheld as a result of such change in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if a Holder electing not to have its Notes redeemed converts its Notes, the Company will be obligated to pay Additional Amounts, if any, with respect to such conversion.</w:t>
      </w:r>
    </w:p>
    <w:p>
      <w:pPr>
        <w:spacing w:after="0" w:line="188" w:lineRule="exact"/>
        <w:rPr>
          <w:rFonts w:ascii="Times New Roman" w:cs="Times New Roman" w:eastAsia="Times New Roman" w:hAnsi="Times New Roman"/>
          <w:sz w:val="18"/>
          <w:szCs w:val="18"/>
          <w:color w:val="auto"/>
        </w:rPr>
      </w:pPr>
    </w:p>
    <w:p>
      <w:pPr>
        <w:ind w:right="220" w:firstLine="656"/>
        <w:spacing w:after="0" w:line="261" w:lineRule="auto"/>
        <w:tabs>
          <w:tab w:leader="none" w:pos="8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deliver to the Paying Agent a written notice of election so as to be received by the Paying Agent no later than the close of business on a Business Day at least five (5) Business Days prior to the Redemption Date. A Holder may withdraw any notice of election by delivering to the Paying Agent a written notice of withdrawal prior to the close of business on the Business Day prior to the Redemption Date. Where no election is made, the Holder’s Notes will be redeemed without any further action.</w:t>
      </w:r>
    </w:p>
    <w:p>
      <w:pPr>
        <w:spacing w:after="0" w:line="17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16.05 Payment of Notes Called for Redemption. </w:t>
      </w:r>
      <w:r>
        <w:rPr>
          <w:rFonts w:ascii="Times New Roman" w:cs="Times New Roman" w:eastAsia="Times New Roman" w:hAnsi="Times New Roman"/>
          <w:sz w:val="18"/>
          <w:szCs w:val="18"/>
          <w:color w:val="auto"/>
        </w:rPr>
        <w:t>(a) If any Notice of Redemption has been given in respect of the Notes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16.02 or Section 16.04, as applicable, the Notes shall become due and payable on the Redemption Date at the place or places stated in the Notice of Redemption and at the applicable Redemption Price. On presentation and surrender of the Notes at the place or places stated in the Notice of Redemption, the Notes shall be paid and redeemed by the Company at the applicable Redemption Price.</w:t>
      </w:r>
    </w:p>
    <w:p>
      <w:pPr>
        <w:spacing w:after="0" w:line="182" w:lineRule="exact"/>
        <w:rPr>
          <w:sz w:val="20"/>
          <w:szCs w:val="20"/>
          <w:color w:val="auto"/>
        </w:rPr>
      </w:pPr>
    </w:p>
    <w:p>
      <w:pPr>
        <w:ind w:right="100" w:firstLine="656"/>
        <w:spacing w:after="0" w:line="256" w:lineRule="auto"/>
        <w:tabs>
          <w:tab w:leader="none" w:pos="90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4.04 and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85"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16.06 Restrictions on Redemption. </w:t>
      </w:r>
      <w:r>
        <w:rPr>
          <w:rFonts w:ascii="Times New Roman" w:cs="Times New Roman" w:eastAsia="Times New Roman" w:hAnsi="Times New Roman"/>
          <w:sz w:val="18"/>
          <w:szCs w:val="18"/>
          <w:color w:val="auto"/>
        </w:rPr>
        <w:t>The Company may not redeem any Notes on any date if the principal amount of the Notes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as applicable).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223"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17.01 Provisions Binding on Company’s Successors. </w:t>
      </w:r>
      <w:r>
        <w:rPr>
          <w:rFonts w:ascii="Times New Roman" w:cs="Times New Roman" w:eastAsia="Times New Roman" w:hAnsi="Times New Roman"/>
          <w:sz w:val="18"/>
          <w:szCs w:val="18"/>
          <w:color w:val="auto"/>
        </w:rPr>
        <w:t>All the covenants, stipulations, promises and agreements of the Company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Indenture shall bind its successors and assigns whether so expressed or not.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17.02 Official Acts by Successor Corporation. </w:t>
      </w:r>
      <w:r>
        <w:rPr>
          <w:rFonts w:ascii="Times New Roman" w:cs="Times New Roman" w:eastAsia="Times New Roman" w:hAnsi="Times New Roman"/>
          <w:sz w:val="18"/>
          <w:szCs w:val="18"/>
          <w:color w:val="auto"/>
        </w:rPr>
        <w:t>Any act or proceeding by any provision of this Indenture authorized or required to be done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17.03 Addresses for Notices, Etc. </w:t>
      </w:r>
      <w:r>
        <w:rPr>
          <w:rFonts w:ascii="Times New Roman" w:cs="Times New Roman" w:eastAsia="Times New Roman" w:hAnsi="Times New Roman"/>
          <w:sz w:val="18"/>
          <w:szCs w:val="18"/>
          <w:color w:val="auto"/>
        </w:rPr>
        <w:t>Any notice or demand that by any provision of this Indenture is required or permitted to be given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Bitfarms Ltd., 110 Yonge Street, Suite 1601, Toronto, Ontario, M5C 1T4, Canada.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Definitive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8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0"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00" w:name="page101"/>
    <w:bookmarkEnd w:id="100"/>
    <w:p>
      <w:pPr>
        <w:ind w:firstLine="648"/>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provide to the Trustee an incumbency certificate listing officers with the authority to provide such Instructions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xml:space="preserve">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4" w:lineRule="exact"/>
        <w:rPr>
          <w:sz w:val="20"/>
          <w:szCs w:val="20"/>
          <w:color w:val="auto"/>
        </w:rPr>
      </w:pPr>
    </w:p>
    <w:p>
      <w:pPr>
        <w:ind w:right="4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Section 17.04 Governing Law; Jurisdiction. </w:t>
      </w:r>
      <w:r>
        <w:rPr>
          <w:rFonts w:ascii="Times New Roman" w:cs="Times New Roman" w:eastAsia="Times New Roman" w:hAnsi="Times New Roman"/>
          <w:sz w:val="17"/>
          <w:szCs w:val="17"/>
          <w:color w:val="auto"/>
        </w:rPr>
        <w:t>THIS INDENTURE AND EACH NOTE, AND ANY CLAIM, CONTROVERSY OR DISPUTE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ARISING UNDER OR RELATED TO THIS INDENTURE AND EACH NOTE, SHALL BE GOVERNED BY, AND CONSTRUED IN ACCORDANCE WITH, THE LAWS OF THE STATE OF NEW YORK (WITHOUT REGARD TO THE CONFLICTS OF LAWS PROVISIONS THEREOF).</w:t>
      </w:r>
    </w:p>
    <w:p>
      <w:pPr>
        <w:spacing w:after="0" w:line="15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any United States federal or State of New York court located in the Borough of Manhattan, New York City, New York and, until amounts due and to become due in respect of the Notes have been paid, hereby irrevocably consents and submits to the non-exclusive jurisdiction of each such court with respect to any such legal action, suit or proceeding for itself in respect of its properties, assets and revenues.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any United States federal or State of New York court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appoint Cogency Global Inc. (“CG”), located at 122 E. 42nd Street, 18th Floor, New York, New York 10168, as its agent for service of process in any suit, action or proceeding with respect to this Indenture and the Notes and for actions brought under the U.S. federal or state securities laws brought in any U.S. federal or state court located in the Borough of Manhattan in the City of New York. Service of any process on CG in any such action (and written notice of such service to the Company) shall be effective service of process against the Company for any suit, action or proceeding brought in any such court.</w:t>
      </w:r>
    </w:p>
    <w:p>
      <w:pPr>
        <w:spacing w:after="0" w:line="181"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17.05 Evidence of Compliance with Conditions Precedent; Certificates and Opinions of Counsel to Trustee. </w:t>
      </w:r>
      <w:r>
        <w:rPr>
          <w:rFonts w:ascii="Times New Roman" w:cs="Times New Roman" w:eastAsia="Times New Roman" w:hAnsi="Times New Roman"/>
          <w:sz w:val="18"/>
          <w:szCs w:val="18"/>
          <w:color w:val="auto"/>
        </w:rPr>
        <w:t>Upon any application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by the Company to the Trustee to take any action under any of the provisions of this Indenture, the Company shall, if requested by the Trustee, furnish to the Trustee an Officer’s Certificate and an Opinion of Counsel stating that such action is permitted by the terms of this Indenture.</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shall be required to be delivered in connection with (1) any exchange by the Company in its sole discretion of the restricted CUSIP of the Restricted Securities to an unrestricted CUSIP pursuant to the applicable procedures of the Depositary upon the Notes becoming freely tradeable by non-Affiliates of the Company under Rule 144, or (2) a request by the Company that the Trustee delivers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74"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17.06 Legal Holidays. </w:t>
      </w:r>
      <w:r>
        <w:rPr>
          <w:rFonts w:ascii="Times New Roman" w:cs="Times New Roman" w:eastAsia="Times New Roman" w:hAnsi="Times New Roman"/>
          <w:sz w:val="18"/>
          <w:szCs w:val="18"/>
          <w:color w:val="auto"/>
        </w:rPr>
        <w:t>In any case where any Interest Payment Date, any Fundamental Change Repurchase Date, any Redemption Date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17.07 No Security Interest Created. </w:t>
      </w:r>
      <w:r>
        <w:rPr>
          <w:rFonts w:ascii="Times New Roman" w:cs="Times New Roman" w:eastAsia="Times New Roman" w:hAnsi="Times New Roman"/>
          <w:sz w:val="18"/>
          <w:szCs w:val="18"/>
          <w:color w:val="auto"/>
        </w:rPr>
        <w:t>Nothing in this Indenture or in the Notes, expressed or implied, shall be construed to constitute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interest under the Uniform Commercial Code or similar legislation, as now or hereafter enacted and in effect, in any jurisdiction.</w:t>
      </w:r>
    </w:p>
    <w:p>
      <w:pPr>
        <w:spacing w:after="0" w:line="158"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17.08 Benefits of Indenture. </w:t>
      </w:r>
      <w:r>
        <w:rPr>
          <w:rFonts w:ascii="Times New Roman" w:cs="Times New Roman" w:eastAsia="Times New Roman" w:hAnsi="Times New Roman"/>
          <w:sz w:val="18"/>
          <w:szCs w:val="18"/>
          <w:color w:val="auto"/>
        </w:rPr>
        <w:t>Nothing in this Indenture or in the Notes, expressed or implied, shall give to any Person,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17.09 Table of Contents, Headings, Etc. </w:t>
      </w:r>
      <w:r>
        <w:rPr>
          <w:rFonts w:ascii="Times New Roman" w:cs="Times New Roman" w:eastAsia="Times New Roman" w:hAnsi="Times New Roman"/>
          <w:sz w:val="18"/>
          <w:szCs w:val="18"/>
          <w:color w:val="auto"/>
        </w:rPr>
        <w:t>The table of contents and the titles and headings of the articles and sections of this Indenture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17.10 Authenticating Agent. </w:t>
      </w:r>
      <w:r>
        <w:rPr>
          <w:rFonts w:ascii="Times New Roman" w:cs="Times New Roman" w:eastAsia="Times New Roman" w:hAnsi="Times New Roman"/>
          <w:sz w:val="18"/>
          <w:szCs w:val="18"/>
          <w:color w:val="auto"/>
        </w:rPr>
        <w:t>The Trustee may appoint an authenticating agent that shall be authorized to act on behalf of the Trustee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103" w:name="page104"/>
    <w:bookmarkEnd w:id="103"/>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time-to-time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lieu of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17.11 Execution in Counterparts. </w:t>
      </w:r>
      <w:r>
        <w:rPr>
          <w:rFonts w:ascii="Times New Roman" w:cs="Times New Roman" w:eastAsia="Times New Roman" w:hAnsi="Times New Roman"/>
          <w:sz w:val="18"/>
          <w:szCs w:val="18"/>
          <w:color w:val="auto"/>
        </w:rPr>
        <w:t>This Indenture may be executed in any number of counterparts, each of which shall be an original,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and shall be deemed to be their original signatures for all purposes. 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will be deemed to include electronic signatures and the keeping of records in electronic form, each of which will be, except with respect to authentication of the Notes by the Trustee,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reasonable procedures approved by the Trustee.</w:t>
      </w:r>
    </w:p>
    <w:p>
      <w:pPr>
        <w:spacing w:after="0" w:line="18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17.12 Severability. </w:t>
      </w:r>
      <w:r>
        <w:rPr>
          <w:rFonts w:ascii="Times New Roman" w:cs="Times New Roman" w:eastAsia="Times New Roman" w:hAnsi="Times New Roman"/>
          <w:sz w:val="18"/>
          <w:szCs w:val="18"/>
          <w:color w:val="auto"/>
        </w:rPr>
        <w:t>In the event any provision of this Indenture or in the Notes shall be invalid, illegal or unenforceable, then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law) the validity, legality or enforceability of the remaining provisions shall not in any way be affected or impaired.</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right="220" w:firstLine="648"/>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Section 17.13 Waiver of Jury Trial. </w:t>
      </w:r>
      <w:r>
        <w:rPr>
          <w:rFonts w:ascii="Times New Roman" w:cs="Times New Roman" w:eastAsia="Times New Roman" w:hAnsi="Times New Roman"/>
          <w:sz w:val="17"/>
          <w:szCs w:val="17"/>
          <w:b w:val="1"/>
          <w:bCs w:val="1"/>
          <w:color w:val="auto"/>
        </w:rPr>
        <w:t>EACH OF THE COMPANY AND THE TRUSTEE HEREBY IRREVOCABLY WAIVES,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FULLEST EXTENT PERMITTED BY APPLICABLE LAW, ANY AND ALL RIGHT TO TRIAL BY JURY IN ANY LEGAL PROCEEDING ARISING OUT OF OR RELATING TO THIS INDENTURE, THE NOTES OR THE TRANSACTIONS CONTEMPLATED HEREBY.</w:t>
      </w:r>
    </w:p>
    <w:p>
      <w:pPr>
        <w:spacing w:after="0" w:line="15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17.14 Force Majeure. </w:t>
      </w:r>
      <w:r>
        <w:rPr>
          <w:rFonts w:ascii="Times New Roman" w:cs="Times New Roman" w:eastAsia="Times New Roman" w:hAnsi="Times New Roman"/>
          <w:sz w:val="18"/>
          <w:szCs w:val="18"/>
          <w:color w:val="auto"/>
        </w:rPr>
        <w:t>In no event shall the Trustee be responsible or liable for any failure or delay in the performance of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arising out of or caused by, directly or indirectly, forces beyond its control, including, without limitation, strikes, work stoppages, accidents, acts of war or terrorism, civil or military disturbances, epidemics, pandemics, disease, nuclear or natural catastrophes or acts of God, and interruptions, or loss or malfunctions of utilities; it being understood that the Trustee shall use reasonable efforts that are consistent with accepted practices in the banking industry to resume performance as soon as practicable under the circumstances.</w:t>
      </w:r>
    </w:p>
    <w:p>
      <w:pPr>
        <w:spacing w:after="0" w:line="183"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17.15 Calculations. </w:t>
      </w:r>
      <w:r>
        <w:rPr>
          <w:rFonts w:ascii="Times New Roman" w:cs="Times New Roman" w:eastAsia="Times New Roman" w:hAnsi="Times New Roman"/>
          <w:sz w:val="18"/>
          <w:szCs w:val="18"/>
          <w:color w:val="auto"/>
        </w:rPr>
        <w:t>Except as otherwise provided herein, the Company shall be responsible for making all calculations called for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Indenture and the Notes. These calculations include, but are not limited to, determinations of the Share Price for purposes of a Make-Whole Fundamental Change, the Last Reported Sale Price, the Daily VWAPs, the Daily Conversion Values, the Daily Settlement Amount, accrued interest payable on the Notes and the Conversion Rate. The Company shall make all these calculations in good faith and, absent manifest error, the Company’s calculations shall be final and binding on Holders. The Company shall provide a schedule of its calculations to each of the Trustee and the Conversion Agent (if other than the Trustee), and each of the Trustee, the Paying Agent, the Note Registrar and the Conversion Agent is entitled to rely conclusively upon the accuracy of the Company’s calculations without independent verification. The Trustee will forward the Company’s calculations to any Holder upon the written request of that Holder. For the avoidance of doubt, the Trustee, in any of its roles under this Indenture or any capacity, shall not be responsible or liable for any calculation pursuant to this Indenture or the Notes.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17.16 USA PATRIOT Act. </w:t>
      </w:r>
      <w:r>
        <w:rPr>
          <w:rFonts w:ascii="Times New Roman" w:cs="Times New Roman" w:eastAsia="Times New Roman" w:hAnsi="Times New Roman"/>
          <w:sz w:val="18"/>
          <w:szCs w:val="18"/>
          <w:color w:val="auto"/>
        </w:rPr>
        <w:t>The parties hereto acknowledge that in accordance with Section 326 of the USA PATRIOT Act, the Trustee, like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financial institutions and in order to help fight the funding of terrorism and money laundering, are required to obtain, verify, and record information that identifies each person or legal entity that establishes a relationship or opens an account with the Trustee. Company agrees that it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date first written above.</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BITFARMS LTD.</w:t>
      </w:r>
    </w:p>
    <w:p>
      <w:pPr>
        <w:spacing w:after="0" w:line="223"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 xml:space="preserve">(signed) </w:t>
      </w:r>
      <w:r>
        <w:rPr>
          <w:rFonts w:ascii="Times New Roman" w:cs="Times New Roman" w:eastAsia="Times New Roman" w:hAnsi="Times New Roman"/>
          <w:sz w:val="18"/>
          <w:szCs w:val="18"/>
          <w:i w:val="1"/>
          <w:iCs w:val="1"/>
          <w:color w:val="auto"/>
        </w:rPr>
        <w:t>“Ben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18415</wp:posOffset>
            </wp:positionV>
            <wp:extent cx="255460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560"/>
        <w:spacing w:after="0"/>
        <w:tabs>
          <w:tab w:leader="none" w:pos="7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Ben Gagnon</w:t>
      </w:r>
    </w:p>
    <w:p>
      <w:pPr>
        <w:spacing w:after="0" w:line="27" w:lineRule="exact"/>
        <w:rPr>
          <w:sz w:val="20"/>
          <w:szCs w:val="20"/>
          <w:color w:val="auto"/>
        </w:rPr>
      </w:pPr>
    </w:p>
    <w:p>
      <w:pPr>
        <w:ind w:left="656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06" w:name="page107"/>
    <w:bookmarkEnd w:id="106"/>
    <w:p>
      <w:pPr>
        <w:ind w:left="5640"/>
        <w:spacing w:after="0"/>
        <w:rPr>
          <w:sz w:val="20"/>
          <w:szCs w:val="20"/>
          <w:color w:val="auto"/>
        </w:rPr>
      </w:pPr>
      <w:r>
        <w:rPr>
          <w:rFonts w:ascii="Times New Roman" w:cs="Times New Roman" w:eastAsia="Times New Roman" w:hAnsi="Times New Roman"/>
          <w:sz w:val="18"/>
          <w:szCs w:val="18"/>
          <w:color w:val="auto"/>
        </w:rPr>
        <w:t>COMPUTERSHARE TRUST COMPANY, N.A., as Trustee</w:t>
      </w:r>
    </w:p>
    <w:p>
      <w:pPr>
        <w:spacing w:after="0" w:line="22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 xml:space="preserve">(signed) </w:t>
      </w:r>
      <w:r>
        <w:rPr>
          <w:rFonts w:ascii="Times New Roman" w:cs="Times New Roman" w:eastAsia="Times New Roman" w:hAnsi="Times New Roman"/>
          <w:sz w:val="18"/>
          <w:szCs w:val="18"/>
          <w:i w:val="1"/>
          <w:iCs w:val="1"/>
          <w:color w:val="auto"/>
        </w:rPr>
        <w:t>“Scott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18415</wp:posOffset>
            </wp:positionV>
            <wp:extent cx="255460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Scott Little</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COMPUTERSHARE TRUST COMPANY OF CANADA, as</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Co-Trustee</w:t>
      </w:r>
    </w:p>
    <w:p>
      <w:pPr>
        <w:spacing w:after="0" w:line="20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 xml:space="preserve">(signed) </w:t>
      </w:r>
      <w:r>
        <w:rPr>
          <w:rFonts w:ascii="Times New Roman" w:cs="Times New Roman" w:eastAsia="Times New Roman" w:hAnsi="Times New Roman"/>
          <w:sz w:val="18"/>
          <w:szCs w:val="18"/>
          <w:i w:val="1"/>
          <w:iCs w:val="1"/>
          <w:color w:val="auto"/>
        </w:rPr>
        <w:t>“Lateefah Akinde”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18415</wp:posOffset>
            </wp:positionV>
            <wp:extent cx="255460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Lateefah Akinde</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Corporate Trust Officer</w:t>
      </w:r>
    </w:p>
    <w:p>
      <w:pPr>
        <w:spacing w:after="0" w:line="20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 xml:space="preserve">(signed) </w:t>
      </w:r>
      <w:r>
        <w:rPr>
          <w:rFonts w:ascii="Times New Roman" w:cs="Times New Roman" w:eastAsia="Times New Roman" w:hAnsi="Times New Roman"/>
          <w:sz w:val="18"/>
          <w:szCs w:val="18"/>
          <w:i w:val="1"/>
          <w:iCs w:val="1"/>
          <w:color w:val="auto"/>
        </w:rPr>
        <w:t>“Stanley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18415</wp:posOffset>
            </wp:positionV>
            <wp:extent cx="255460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Stanley Kwan</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Associate Trust Officer</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PROVISIONS RELATING TO INITIAL NOTES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ADDITIONAL NOTES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900" w:hanging="24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Appendix A have the meanings given to them in this Indenture. The following capitalized terms have the following meanings:</w:t>
      </w:r>
    </w:p>
    <w:p>
      <w:pPr>
        <w:spacing w:after="0" w:line="158" w:lineRule="exact"/>
        <w:rPr>
          <w:sz w:val="20"/>
          <w:szCs w:val="20"/>
          <w:color w:val="auto"/>
        </w:rPr>
      </w:pPr>
    </w:p>
    <w:p>
      <w:pPr>
        <w:ind w:right="8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Resale Restriction Termination Date</w:t>
      </w:r>
      <w:r>
        <w:rPr>
          <w:rFonts w:ascii="Times New Roman" w:cs="Times New Roman" w:eastAsia="Times New Roman" w:hAnsi="Times New Roman"/>
          <w:sz w:val="18"/>
          <w:szCs w:val="18"/>
          <w:color w:val="auto"/>
        </w:rPr>
        <w:t>” means, with respect to the Initial Notes, February 22, 2026, and with respect to any Additional Notes, the date that is four (4) months and one day following the issue date of such Additional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9" w:lineRule="exact"/>
        <w:rPr>
          <w:sz w:val="20"/>
          <w:szCs w:val="20"/>
          <w:color w:val="auto"/>
        </w:rPr>
      </w:pPr>
    </w:p>
    <w:p>
      <w:pPr>
        <w:ind w:left="920" w:hanging="264"/>
        <w:spacing w:after="0"/>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w:t>
            </w:r>
          </w:p>
        </w:tc>
        <w:tc>
          <w:tcPr>
            <w:tcW w:w="4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Defined in Section</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“Definitive Notes Legend”</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2.3(e)</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Notes Legend”</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2.3(e)</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Securities Legends”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2.3(e)</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“Rule 144A</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Note”</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2.1(a)</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144A</w:t>
            </w: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2.1(b)</w:t>
            </w:r>
          </w:p>
        </w:tc>
      </w:tr>
    </w:tbl>
    <w:p>
      <w:pPr>
        <w:spacing w:after="0" w:line="19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Form and Dating; Global Notes.</w:t>
      </w:r>
      <w:r>
        <w:rPr>
          <w:rFonts w:ascii="Times New Roman" w:cs="Times New Roman" w:eastAsia="Times New Roman" w:hAnsi="Times New Roman"/>
          <w:sz w:val="18"/>
          <w:szCs w:val="18"/>
          <w:color w:val="auto"/>
        </w:rPr>
        <w:t xml:space="preserve"> The Initial Notes issued on the date hereof shall be (i) offered and sold by the Company to the Initial Purchasers and (ii) resold, initially only to QIBs in reliance on Rule 144A (“</w:t>
      </w:r>
      <w:r>
        <w:rPr>
          <w:rFonts w:ascii="Times New Roman" w:cs="Times New Roman" w:eastAsia="Times New Roman" w:hAnsi="Times New Roman"/>
          <w:sz w:val="18"/>
          <w:szCs w:val="18"/>
          <w:b w:val="1"/>
          <w:bCs w:val="1"/>
          <w:color w:val="auto"/>
        </w:rPr>
        <w:t>Rule 144A Notes</w:t>
      </w:r>
      <w:r>
        <w:rPr>
          <w:rFonts w:ascii="Times New Roman" w:cs="Times New Roman" w:eastAsia="Times New Roman" w:hAnsi="Times New Roman"/>
          <w:sz w:val="18"/>
          <w:szCs w:val="18"/>
          <w:color w:val="auto"/>
        </w:rPr>
        <w:t>”). Rule 144A Notes shall be issued initially in the form of one or more permanent global Notes in definitive, fully registered form (collectively, the “</w:t>
      </w:r>
      <w:r>
        <w:rPr>
          <w:rFonts w:ascii="Times New Roman" w:cs="Times New Roman" w:eastAsia="Times New Roman" w:hAnsi="Times New Roman"/>
          <w:sz w:val="18"/>
          <w:szCs w:val="18"/>
          <w:b w:val="1"/>
          <w:bCs w:val="1"/>
          <w:color w:val="auto"/>
        </w:rPr>
        <w:t>Rule 144A Global Note</w:t>
      </w:r>
      <w:r>
        <w:rPr>
          <w:rFonts w:ascii="Times New Roman" w:cs="Times New Roman" w:eastAsia="Times New Roman" w:hAnsi="Times New Roman"/>
          <w:sz w:val="18"/>
          <w:szCs w:val="18"/>
          <w:color w:val="auto"/>
        </w:rPr>
        <w:t>”) without interest coupons and bearing the Global Notes Legend and Restricted Securities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652"/>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92" w:hanging="244"/>
        <w:spacing w:after="0"/>
        <w:tabs>
          <w:tab w:leader="none" w:pos="8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the Notes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300" w:firstLine="644"/>
        <w:spacing w:after="0" w:line="266" w:lineRule="auto"/>
        <w:tabs>
          <w:tab w:leader="none" w:pos="151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Section 2.2, each Note shall bear legends in substantially the following form (each defined term in the legend being defined as such for purposes of the legend only) (the first legend below, the “</w:t>
      </w:r>
      <w:r>
        <w:rPr>
          <w:rFonts w:ascii="Times New Roman" w:cs="Times New Roman" w:eastAsia="Times New Roman" w:hAnsi="Times New Roman"/>
          <w:sz w:val="18"/>
          <w:szCs w:val="18"/>
          <w:b w:val="1"/>
          <w:bCs w:val="1"/>
          <w:color w:val="auto"/>
        </w:rPr>
        <w:t>U.S. Restricted Securities Legend</w:t>
      </w:r>
      <w:r>
        <w:rPr>
          <w:rFonts w:ascii="Times New Roman" w:cs="Times New Roman" w:eastAsia="Times New Roman" w:hAnsi="Times New Roman"/>
          <w:sz w:val="18"/>
          <w:szCs w:val="18"/>
          <w:color w:val="auto"/>
        </w:rPr>
        <w:t>” and the second legend, the “</w:t>
      </w:r>
      <w:r>
        <w:rPr>
          <w:rFonts w:ascii="Times New Roman" w:cs="Times New Roman" w:eastAsia="Times New Roman" w:hAnsi="Times New Roman"/>
          <w:sz w:val="18"/>
          <w:szCs w:val="18"/>
          <w:b w:val="1"/>
          <w:bCs w:val="1"/>
          <w:color w:val="auto"/>
        </w:rPr>
        <w:t>Canadian Restricted Securities Legend</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Restricted Securities Legends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52" w:right="20"/>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AND ACCORDINGLY, MAY NOT BE OFFERED OR SOLD EXCEPT AS SET FORTH IN THE FOLLOWING SENTENCE. BY ITS ACQUISITION HEREOF, THE HOLDER AGREES (1) THAT IT WILL NOT RESELL OR OTHERWISE TRANSFER THE SECURITY EVIDENCED HEREBY, EXCEPT (A) TO BITFARMS LTD. (THE “ISSUER”) OR A SUBSIDIARY OF THE ISSUER; (B) UNDER A REGISTRATION STATEMENT THAT HAS BEEN DECLARED EFFECTIVE UNDER THE SECURITIES ACT;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FURNISH TO THE ISSUER AND THE TRUSTEE OR TRANSFER AGENT FOR THIS SECURITY, AS APPLICABLE, SUCH CERTIFICATIONS, LEGAL OPINIONS OR OTHER INFORMATION AS MAY BE REQUIRED TO CONFIRM THAT SUCH TRANSFER IS BEING MADE PURSUANT TO AN EXEMPTION FROM, OR IN A TRANSACTION NOT SUBJECT TO, THE REGISTRATION REQUIREMENTS OF THE SECURITIES ACT.</w:t>
      </w:r>
    </w:p>
    <w:p>
      <w:pPr>
        <w:spacing w:after="0" w:line="197" w:lineRule="exact"/>
        <w:rPr>
          <w:sz w:val="20"/>
          <w:szCs w:val="20"/>
          <w:color w:val="auto"/>
        </w:rPr>
      </w:pPr>
    </w:p>
    <w:p>
      <w:pPr>
        <w:jc w:val="both"/>
        <w:ind w:left="652" w:right="360"/>
        <w:spacing w:after="0" w:line="292" w:lineRule="auto"/>
        <w:rPr>
          <w:sz w:val="20"/>
          <w:szCs w:val="20"/>
          <w:color w:val="auto"/>
        </w:rPr>
      </w:pPr>
      <w:r>
        <w:rPr>
          <w:rFonts w:ascii="Times New Roman" w:cs="Times New Roman" w:eastAsia="Times New Roman" w:hAnsi="Times New Roman"/>
          <w:sz w:val="18"/>
          <w:szCs w:val="18"/>
          <w:color w:val="auto"/>
        </w:rPr>
        <w:t>IN CANADA, UNLESS PERMITTED UNDER SECURITIES LEGISLATION, THE HOLDER OF THIS SECURITY MUST NOT TRADE THE SECURITY BEFORE FEBRUARY 22, 2026.”</w:t>
      </w:r>
      <w:r>
        <w:rPr>
          <w:rFonts w:ascii="Times New Roman" w:cs="Times New Roman" w:eastAsia="Times New Roman" w:hAnsi="Times New Roman"/>
          <w:sz w:val="29"/>
          <w:szCs w:val="29"/>
          <w:color w:val="auto"/>
          <w:vertAlign w:val="superscript"/>
        </w:rPr>
        <w:t>1</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Each Definitive Note shall bear the following additional legend (“</w:t>
      </w:r>
      <w:r>
        <w:rPr>
          <w:rFonts w:ascii="Times New Roman" w:cs="Times New Roman" w:eastAsia="Times New Roman" w:hAnsi="Times New Roman"/>
          <w:sz w:val="18"/>
          <w:szCs w:val="18"/>
          <w:b w:val="1"/>
          <w:bCs w:val="1"/>
          <w:color w:val="auto"/>
        </w:rPr>
        <w:t>Definitive Notes Legend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52" w:right="360"/>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NOTE REGISTRAR AND TRANSFER AGENT SUCH CERTIFICATES AND OTHER INFORMATION AS SUCH TRANSFER AGENT MAY REASONABLY REQUIRE TO CONFIRM THAT THE TRANSFER COMPLIES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32" w:hanging="332"/>
        <w:spacing w:after="0" w:line="195" w:lineRule="auto"/>
        <w:tabs>
          <w:tab w:leader="none" w:pos="332" w:val="left"/>
        </w:tabs>
        <w:numPr>
          <w:ilvl w:val="0"/>
          <w:numId w:val="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any Additional Notes, the actual Canadian Resale Restriction Termination Date for such Additional Notes will be inserted in place of February 22, 2026.</w:t>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Each Global Note shall bear the following additional legend (“</w:t>
      </w:r>
      <w:r>
        <w:rPr>
          <w:rFonts w:ascii="Times New Roman" w:cs="Times New Roman" w:eastAsia="Times New Roman" w:hAnsi="Times New Roman"/>
          <w:sz w:val="18"/>
          <w:szCs w:val="18"/>
          <w:b w:val="1"/>
          <w:bCs w:val="1"/>
          <w:color w:val="auto"/>
        </w:rPr>
        <w:t>Global Notes Legend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ind w:right="380" w:firstLine="644"/>
        <w:spacing w:after="0" w:line="266" w:lineRule="auto"/>
        <w:tabs>
          <w:tab w:leader="none" w:pos="9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sale or transfer after the expiration of the Canadian Resale Restriction Termination Date of any Initial Note or Additional Note, all requirements that such Initial Note or Additional Note bear the Canadian Restricted Securities Legend shall cease to apply and the requirements requiring any such Initial Note or Additional Note be issued in global form shall continue to apply.</w:t>
      </w:r>
    </w:p>
    <w:p>
      <w:pPr>
        <w:spacing w:after="0" w:line="175" w:lineRule="exact"/>
        <w:rPr>
          <w:rFonts w:ascii="Times New Roman" w:cs="Times New Roman" w:eastAsia="Times New Roman" w:hAnsi="Times New Roman"/>
          <w:sz w:val="18"/>
          <w:szCs w:val="18"/>
          <w:color w:val="auto"/>
        </w:rPr>
      </w:pPr>
    </w:p>
    <w:p>
      <w:pPr>
        <w:ind w:firstLine="644"/>
        <w:spacing w:after="0" w:line="261" w:lineRule="auto"/>
        <w:tabs>
          <w:tab w:leader="none" w:pos="95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Additional Notes sold in a registered offering under the Securities Act shall not be required to bear the U.S. Restricted Securities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Additional Notes may be required to include the Canadian Restricted Securities Legend unless such Additional Notes are qualified for distribution by a prospectus under Canadian securities laws or otherwise not subject to any applicable resale restrictions under securities laws.</w:t>
      </w:r>
    </w:p>
    <w:p>
      <w:pPr>
        <w:spacing w:after="0" w:line="179" w:lineRule="exact"/>
        <w:rPr>
          <w:rFonts w:ascii="Times New Roman" w:cs="Times New Roman" w:eastAsia="Times New Roman" w:hAnsi="Times New Roman"/>
          <w:sz w:val="18"/>
          <w:szCs w:val="18"/>
          <w:color w:val="auto"/>
        </w:rPr>
      </w:pPr>
    </w:p>
    <w:p>
      <w:pPr>
        <w:ind w:right="80" w:firstLine="644"/>
        <w:spacing w:after="0" w:line="266" w:lineRule="auto"/>
        <w:tabs>
          <w:tab w:leader="none" w:pos="95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its sole discretion, cause the U.S. Restricted Securities Legend on any Global Note to be removed (or deemed removed) and cause such Global Note to be identified by an unrestricted CUSIP at any time on or after the Canadian Resale Restriction Termination Date, without delivering an Opinion of Counsel, by:</w:t>
      </w:r>
    </w:p>
    <w:p>
      <w:pPr>
        <w:spacing w:after="0" w:line="175" w:lineRule="exact"/>
        <w:rPr>
          <w:rFonts w:ascii="Times New Roman" w:cs="Times New Roman" w:eastAsia="Times New Roman" w:hAnsi="Times New Roman"/>
          <w:sz w:val="18"/>
          <w:szCs w:val="18"/>
          <w:color w:val="auto"/>
        </w:rPr>
      </w:pPr>
    </w:p>
    <w:p>
      <w:pPr>
        <w:ind w:left="640" w:firstLine="652"/>
        <w:spacing w:after="0" w:line="253" w:lineRule="auto"/>
        <w:tabs>
          <w:tab w:leader="none" w:pos="158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 written notice (x) certifying that all Notes represented by any Rule 144A Global Note would be freely tradable under Rule 144 by a person who is not an Affiliate of the Company (within the meaning of Rule 144) and has not been an Affiliate of the Company (within the meaning of Rule 144A) during the immediately preceding ninety (90) days, the Company is no longer subject to the limitations imposed by Rule 144(i), (y) instructing the Trustee to take any actions as may be necessary so that the Restricted Securities Legends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Securities Legends will be deemed removed from such Global Notes specified in such notice and the restricted CUSIP number will be deemed removed from each of such Global Notes and deemed replaced with an unrestricted CUSIP number; and</w:t>
      </w: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0" w:right="359" w:bottom="1440" w:gutter="0" w:footer="0" w:header="0"/>
        </w:sectPr>
      </w:pPr>
    </w:p>
    <w:bookmarkStart w:id="110" w:name="page111"/>
    <w:bookmarkEnd w:id="110"/>
    <w:p>
      <w:pPr>
        <w:ind w:left="644" w:right="320" w:firstLine="652"/>
        <w:spacing w:after="0" w:line="282" w:lineRule="auto"/>
        <w:tabs>
          <w:tab w:leader="none" w:pos="157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Depositary an instruction letter for the Depositary’s mandatory exchange process (or any successor notice, form or action required pursuant to the Applicable Procedures) to the extent required.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Common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80" w:firstLine="644"/>
        <w:spacing w:after="0" w:line="266" w:lineRule="auto"/>
        <w:tabs>
          <w:tab w:leader="none" w:pos="85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representing Common Shares issued upon conversion of a Note that bears the U.S. Restrictive Legend shall bear a legend in substantially the following form (unless agreed by the Company with written notice thereof to the Trustee and any transfer agent for the Common Shares):</w:t>
      </w:r>
    </w:p>
    <w:p>
      <w:pPr>
        <w:spacing w:after="0" w:line="17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AND ACCORDINGLY, MAY NOT BE OFFERED OR SOLD EXCEPT AS SET FORTH IN THE FOLLOWING SENTENCE. BY ITS ACQUISITION HEREOF, THE HOLDER AGREES (1) THAT IT WILL NOT RESELL OR OTHERWISE TRANSFER THE SECURITY EVIDENCED HEREBY, EXCEPT (A) TO BITFARMS LTD. (THE “ISSUER”) OR A SUBSIDIARY OF THE ISSUER; (B) UNDER A REGISTRATION STATEMENT THAT HAS BEEN DECLARED EFFECTIVE UNDER THE SECURITIES ACT;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FURNISH TO THE ISSUER AND THE TRUSTEE OR TRANSFER AGENT FOR THIS SECURITY, AS APPLICABLE, SUCH CERTIFICATIONS, LEGAL OPINIONS OR OTHER INFORMATION AS MAY BE REQUIRED TO CONFIRM THAT SUCH TRANSFER IS BEING MADE PURSUANT TO AN EXEMPTION FROM, OR IN A TRANSACTION NOT SUBJECT TO, THE REGISTRATION REQUIREMENTS OF THE SECURITIES ACT.</w:t>
      </w:r>
    </w:p>
    <w:p>
      <w:pPr>
        <w:spacing w:after="0" w:line="197"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ARE LISTED ON THE TORONTO STOCK EXCHANGE (“TSX”); HOWEVER, THE SAID SECURITIES CANNOT BE TRADED THROUGH THE FACILITIES OF TSX SINCE THEY ARE NOT FREELY TRANSFERABLE, AND CONSEQUENTLY ANY CERTIFICATE REPRESENTING SUCH SECURITIES IS NOT “GOOD DELIVERY” IN SETTLEMENT OF TRANSACTIONS ON TSX,</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11" w:name="page112"/>
    <w:bookmarkEnd w:id="111"/>
    <w:p>
      <w:pPr>
        <w:ind w:left="652" w:right="320"/>
        <w:spacing w:after="0" w:line="261" w:lineRule="auto"/>
        <w:rPr>
          <w:sz w:val="20"/>
          <w:szCs w:val="20"/>
          <w:color w:val="auto"/>
        </w:rPr>
      </w:pPr>
      <w:r>
        <w:rPr>
          <w:rFonts w:ascii="Times New Roman" w:cs="Times New Roman" w:eastAsia="Times New Roman" w:hAnsi="Times New Roman"/>
          <w:sz w:val="18"/>
          <w:szCs w:val="18"/>
          <w:color w:val="auto"/>
        </w:rPr>
        <w:t>provided, that if any of the Common Shares are being sold pursuant to Rule 144 under the U.S. Securities Act, if available, the legends may be removed by delivering to the Company and the transfer agent for the Company an opinion of counsel of recognized standing in form and substance reasonably satisfactory to the Company, to the effect that the legends are no longer required under applicable requirements of the Securities Act.</w:t>
      </w:r>
    </w:p>
    <w:p>
      <w:pPr>
        <w:spacing w:after="0" w:line="180" w:lineRule="exact"/>
        <w:rPr>
          <w:sz w:val="20"/>
          <w:szCs w:val="20"/>
          <w:color w:val="auto"/>
        </w:rPr>
      </w:pPr>
    </w:p>
    <w:p>
      <w:pPr>
        <w:ind w:left="652" w:right="180"/>
        <w:spacing w:after="0" w:line="282" w:lineRule="auto"/>
        <w:rPr>
          <w:sz w:val="20"/>
          <w:szCs w:val="20"/>
          <w:color w:val="auto"/>
        </w:rPr>
      </w:pPr>
      <w:r>
        <w:rPr>
          <w:rFonts w:ascii="Times New Roman" w:cs="Times New Roman" w:eastAsia="Times New Roman" w:hAnsi="Times New Roman"/>
          <w:sz w:val="18"/>
          <w:szCs w:val="18"/>
          <w:color w:val="auto"/>
        </w:rPr>
        <w:t>Further, any share certificate representing Common Shares issued upon conversion of a Note that bears the Canadian Restrictive Legend shall, if the conversion occurs prior to the date referenced in the Canadian Restrictive Legend, bear a legend in substantially the following form:</w:t>
      </w:r>
    </w:p>
    <w:p>
      <w:pPr>
        <w:spacing w:after="0" w:line="162" w:lineRule="exact"/>
        <w:rPr>
          <w:sz w:val="20"/>
          <w:szCs w:val="20"/>
          <w:color w:val="auto"/>
        </w:rPr>
      </w:pPr>
    </w:p>
    <w:p>
      <w:pPr>
        <w:ind w:left="652" w:right="360"/>
        <w:spacing w:after="0" w:line="292" w:lineRule="auto"/>
        <w:rPr>
          <w:sz w:val="20"/>
          <w:szCs w:val="20"/>
          <w:color w:val="auto"/>
        </w:rPr>
      </w:pPr>
      <w:r>
        <w:rPr>
          <w:rFonts w:ascii="Times New Roman" w:cs="Times New Roman" w:eastAsia="Times New Roman" w:hAnsi="Times New Roman"/>
          <w:sz w:val="18"/>
          <w:szCs w:val="18"/>
          <w:color w:val="auto"/>
        </w:rPr>
        <w:t>IN CANADA, UNLESS PERMITTED UNDER SECURITIES LEGISLATION, THE HOLDER OF THIS SECURITY MUST NOT TRADE THE SECURITY BEFORE FEBRUARY 22, 2026.</w:t>
      </w:r>
      <w:r>
        <w:rPr>
          <w:rFonts w:ascii="Times New Roman" w:cs="Times New Roman" w:eastAsia="Times New Roman" w:hAnsi="Times New Roman"/>
          <w:sz w:val="29"/>
          <w:szCs w:val="29"/>
          <w:color w:val="auto"/>
          <w:vertAlign w:val="superscript"/>
        </w:rPr>
        <w:t>2</w:t>
      </w:r>
    </w:p>
    <w:p>
      <w:pPr>
        <w:spacing w:after="0" w:line="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Transfer and Exchange of Interests in Global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 w:right="40" w:firstLine="656"/>
        <w:spacing w:after="0" w:line="281" w:lineRule="auto"/>
        <w:tabs>
          <w:tab w:leader="none" w:pos="88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and Exchange of Global Notes</w:t>
      </w:r>
      <w:r>
        <w:rPr>
          <w:rFonts w:ascii="Times New Roman" w:cs="Times New Roman" w:eastAsia="Times New Roman" w:hAnsi="Times New Roman"/>
          <w:sz w:val="17"/>
          <w:szCs w:val="17"/>
          <w:color w:val="auto"/>
        </w:rPr>
        <w:t>.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164" w:lineRule="exact"/>
        <w:rPr>
          <w:rFonts w:ascii="Times New Roman" w:cs="Times New Roman" w:eastAsia="Times New Roman" w:hAnsi="Times New Roman"/>
          <w:sz w:val="17"/>
          <w:szCs w:val="17"/>
          <w:color w:val="auto"/>
        </w:rPr>
      </w:pPr>
    </w:p>
    <w:p>
      <w:pPr>
        <w:ind w:left="652" w:right="40" w:firstLine="644"/>
        <w:spacing w:after="0" w:line="261" w:lineRule="auto"/>
        <w:tabs>
          <w:tab w:leader="none" w:pos="151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transfer of a beneficial interest in one Global Note to a beneficial interest in another Global Note, the Note Registrar shall reflect on its books and records the date and an increase in the principal amount of the Global Note to which such interest is being transferred in an amount equal to the principal amount of the interest to be so transferred, and the Note Registrar shall reflect on its books and records the date and a corresponding decrease in the principal amount of Global Note from which such interest is being transferred.</w:t>
      </w:r>
    </w:p>
    <w:p>
      <w:pPr>
        <w:spacing w:after="0" w:line="179" w:lineRule="exact"/>
        <w:rPr>
          <w:rFonts w:ascii="Times New Roman" w:cs="Times New Roman" w:eastAsia="Times New Roman" w:hAnsi="Times New Roman"/>
          <w:sz w:val="18"/>
          <w:szCs w:val="18"/>
          <w:color w:val="auto"/>
        </w:rPr>
      </w:pPr>
    </w:p>
    <w:p>
      <w:pPr>
        <w:ind w:left="652" w:right="80" w:firstLine="644"/>
        <w:spacing w:after="0" w:line="261" w:lineRule="auto"/>
        <w:tabs>
          <w:tab w:leader="none" w:pos="156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Appendix A (other than the provisions set forth in Section 2.05 of the Indenture relating to the issuance of Definitive Notes),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32" w:hanging="332"/>
        <w:spacing w:after="0" w:line="195" w:lineRule="auto"/>
        <w:tabs>
          <w:tab w:leader="none" w:pos="332" w:val="left"/>
        </w:tabs>
        <w:numPr>
          <w:ilvl w:val="0"/>
          <w:numId w:val="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any Additional Notes, the actual Canadian Resale Restriction Termination Date for such Additional Notes will be inserted in place of February 22, 2026.</w:t>
      </w: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2" w:name="page113"/>
    <w:bookmarkEnd w:id="112"/>
    <w:p>
      <w:pPr>
        <w:ind w:left="560" w:right="60" w:firstLine="644"/>
        <w:spacing w:after="0" w:line="258" w:lineRule="auto"/>
        <w:tabs>
          <w:tab w:leader="none" w:pos="152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Global Note is exchanged for Definitive Notes pursuant to Section 2.05 of the Indenture,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or such other applicable exemption from registration under the Securities Act, as the case may be) and/or such other procedures as may from time to time be adopted by the Company.</w:t>
      </w:r>
    </w:p>
    <w:p>
      <w:pPr>
        <w:spacing w:after="0" w:line="18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Global Notes without Restricted Securities Legends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60" w:right="40" w:firstLine="644"/>
        <w:spacing w:after="0" w:line="255" w:lineRule="auto"/>
        <w:tabs>
          <w:tab w:leader="none" w:pos="14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by an owner of a beneficial interest in the Rule 144A Global Note bearing Restricted Securities Legends may be sold to a transferee who takes delivery of such interest through a Global Note that does not bear a Restricted Securities Legend provided that (A) (1) such sale occurs on and after the date that is the later of (x) the date that is six (6) months after the last date of original issuance of the Initial Notes or Additional Notes, as applicable, and (y) such later date, if any, as may be required by applicable law, and (2) upon receipt by the Trustee of a certification that such transfer shall have been effected in reliance on Rule 144 under the Securities Act; or (B) under a registration statement that has been declared effective under the Securities Act or (C) otherwise upon receipt by the Trustee of an appropriate direction or consent from the Company.</w:t>
      </w:r>
    </w:p>
    <w:p>
      <w:pPr>
        <w:spacing w:after="0" w:line="188" w:lineRule="exact"/>
        <w:rPr>
          <w:rFonts w:ascii="Times New Roman" w:cs="Times New Roman" w:eastAsia="Times New Roman" w:hAnsi="Times New Roman"/>
          <w:sz w:val="18"/>
          <w:szCs w:val="18"/>
          <w:color w:val="auto"/>
        </w:rPr>
      </w:pPr>
    </w:p>
    <w:p>
      <w:pPr>
        <w:ind w:left="-100" w:firstLine="656"/>
        <w:spacing w:after="0" w:line="258" w:lineRule="auto"/>
        <w:tabs>
          <w:tab w:leader="none" w:pos="7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w:t>
      </w:r>
      <w:r>
        <w:rPr>
          <w:rFonts w:ascii="Times New Roman" w:cs="Times New Roman" w:eastAsia="Times New Roman" w:hAnsi="Times New Roman"/>
          <w:sz w:val="18"/>
          <w:szCs w:val="18"/>
          <w:color w:val="auto"/>
        </w:rPr>
        <w:t>. The Trustee, Paying Agent, Registrar and any transfer agent shall have no obligation or duty to monitor, determine or inquire as to compliance with any restrictions on transfer imposed under the Indenture or under applicable law with respect to any transfer of any interest in any Note (including any transfers between or among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83" w:lineRule="exact"/>
        <w:rPr>
          <w:rFonts w:ascii="Times New Roman" w:cs="Times New Roman" w:eastAsia="Times New Roman" w:hAnsi="Times New Roman"/>
          <w:sz w:val="18"/>
          <w:szCs w:val="18"/>
          <w:color w:val="auto"/>
        </w:rPr>
      </w:pPr>
    </w:p>
    <w:p>
      <w:pPr>
        <w:ind w:left="-100" w:firstLine="656"/>
        <w:spacing w:after="0" w:line="256" w:lineRule="auto"/>
        <w:tabs>
          <w:tab w:leader="none" w:pos="8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Global Notes</w:t>
      </w:r>
      <w:r>
        <w:rPr>
          <w:rFonts w:ascii="Times New Roman" w:cs="Times New Roman" w:eastAsia="Times New Roman" w:hAnsi="Times New Roman"/>
          <w:sz w:val="18"/>
          <w:szCs w:val="18"/>
          <w:color w:val="auto"/>
        </w:rPr>
        <w:t>. In connection with any transfer of beneficial interests in a Global Note that bears Restricted Securities Legends for any Global Note that does not bear a Restricted Securities Legends in accordance with Section 2.2, if a Global Note that does not bear a Restricted Securities Legend is not then outstanding (or an insufficient principal amount of such Global Notes are outstanding to permit such transfer) and the Global Notes have not been previously transferred for Definitive Notes in compliance with Section 2.05 of the Indenture, the Company shall issue and the Trustee shall authenticate, upon written order of the Company in the form of an Officer’s Certificate, one or more new Global Notes without the Restricted Securities Legends in the appropriate principal amounts.</w:t>
      </w:r>
    </w:p>
    <w:p>
      <w:pPr>
        <w:spacing w:after="0" w:line="187" w:lineRule="exact"/>
        <w:rPr>
          <w:rFonts w:ascii="Times New Roman" w:cs="Times New Roman" w:eastAsia="Times New Roman" w:hAnsi="Times New Roman"/>
          <w:sz w:val="18"/>
          <w:szCs w:val="18"/>
          <w:color w:val="auto"/>
        </w:rPr>
      </w:pPr>
    </w:p>
    <w:p>
      <w:pPr>
        <w:ind w:left="-100" w:right="180" w:firstLine="656"/>
        <w:spacing w:after="0" w:line="266" w:lineRule="auto"/>
        <w:tabs>
          <w:tab w:leader="none" w:pos="7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Resale Restrictions</w:t>
      </w:r>
      <w:r>
        <w:rPr>
          <w:rFonts w:ascii="Times New Roman" w:cs="Times New Roman" w:eastAsia="Times New Roman" w:hAnsi="Times New Roman"/>
          <w:sz w:val="18"/>
          <w:szCs w:val="18"/>
          <w:color w:val="auto"/>
        </w:rPr>
        <w:t>. Initial Notes and Additional Notes may not be transferred in Canada prior to the applicable Canadian Resale Restriction Termination Date except pursuant to an exemption from the prospectus requirements of Canadian securities laws or otherwise in compliance with such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904"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right="560" w:firstLine="648"/>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 FOLLOWING LEGEND IF A DEFINITIVE NOTE]</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NOTE REGISTRAR AND TRANSFER AGENT SUCH CERTIFICATES AND OTHER INFORMATION AS SUCH TRANSFER AGENT MAY REASONABLY REQUIRE TO CONFIRM THAT THE TRANSFER COMPLIES WITH THE FOREGOING RESTRICTIONS]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SECURITY HAS NOT BEEN REGISTERED UNDER THE U.S.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AND ACCORDINGLY, MAY NOT BE OFFERED OR SOLD EXCEPT AS SET FORTH IN THE FOLLOWING SENTENCE.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ACQUISITION HEREOF, THE HOLDER AGREES (1) THAT IT WILL NOT RESELL OR OTHERWISE TRANSFER THE SECURITY EVIDENCED HEREBY, EXCEPT (A) TO BITFARMS LTD.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OR A SUBSIDIARY OF THE ISSUER; (B) UNDER A REGISTRATION STATEMENT THAT HAS BEEN DECLARED EFFECTIVE UNDER THE SECURITIES ACT;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FURNISH TO THE ISSUER AND THE TRUSTEE OR TRANSFER AGENT FOR THIS SECURITY, AS APPLICABLE, SUCH CERTIFICATIONS, LEGAL OPINIONS OR OTHER INFORMATION AS MAY BE REQUIRED TO CONFIRM THAT SUCH TRANSFER IS BEING MADE PURSUANT TO AN EXEMPTION FROM, OR IN A TRANSACTION NOT SUBJECT TO, THE REGISTRATION REQUIREMENTS OF THE SECURITIES ACT.</w:t>
      </w:r>
    </w:p>
    <w:p>
      <w:pPr>
        <w:spacing w:after="0" w:line="191" w:lineRule="exact"/>
        <w:rPr>
          <w:sz w:val="20"/>
          <w:szCs w:val="20"/>
          <w:color w:val="auto"/>
        </w:rPr>
      </w:pPr>
    </w:p>
    <w:p>
      <w:pPr>
        <w:ind w:right="360" w:firstLine="648"/>
        <w:spacing w:after="0" w:line="292" w:lineRule="auto"/>
        <w:rPr>
          <w:sz w:val="20"/>
          <w:szCs w:val="20"/>
          <w:color w:val="auto"/>
        </w:rPr>
      </w:pPr>
      <w:r>
        <w:rPr>
          <w:rFonts w:ascii="Times New Roman" w:cs="Times New Roman" w:eastAsia="Times New Roman" w:hAnsi="Times New Roman"/>
          <w:sz w:val="18"/>
          <w:szCs w:val="18"/>
          <w:color w:val="auto"/>
        </w:rPr>
        <w:t>IN CANADA, UNLESS PERMITTED UNDER SECURITIES LEGISLATION, THE HOLDER OF THIS SECURITY MUST NOT TRADE THE SECURITY BEFORE FEBRUARY 22, 2026.</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51" w:lineRule="exact"/>
        <w:rPr>
          <w:sz w:val="20"/>
          <w:szCs w:val="20"/>
          <w:color w:val="auto"/>
        </w:rPr>
      </w:pPr>
    </w:p>
    <w:p>
      <w:pPr>
        <w:ind w:left="5360" w:right="2040" w:hanging="5352"/>
        <w:spacing w:after="0" w:line="623" w:lineRule="auto"/>
        <w:tabs>
          <w:tab w:leader="none" w:pos="33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Canadian Resale Restriction Termination Date for the Initial Notes or Additional Notes, as applicable, will be inserted. 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Bitfarms Ltd.</w:t>
            </w:r>
          </w:p>
        </w:tc>
        <w:tc>
          <w:tcPr>
            <w:tcW w:w="1220" w:type="dxa"/>
            <w:vAlign w:val="bottom"/>
          </w:tcPr>
          <w:p>
            <w:pPr>
              <w:spacing w:after="0"/>
              <w:rPr>
                <w:sz w:val="20"/>
                <w:szCs w:val="20"/>
                <w:color w:val="auto"/>
              </w:rPr>
            </w:pPr>
          </w:p>
        </w:tc>
      </w:tr>
      <w:tr>
        <w:trPr>
          <w:trHeight w:val="432"/>
        </w:trPr>
        <w:tc>
          <w:tcPr>
            <w:tcW w:w="2540" w:type="dxa"/>
            <w:vAlign w:val="bottom"/>
          </w:tcPr>
          <w:p>
            <w:pPr>
              <w:spacing w:after="0"/>
              <w:rPr>
                <w:sz w:val="24"/>
                <w:szCs w:val="24"/>
                <w:color w:val="auto"/>
              </w:rPr>
            </w:pPr>
          </w:p>
        </w:tc>
        <w:tc>
          <w:tcPr>
            <w:tcW w:w="7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1.375% Convertible Senior Note due 2031</w:t>
            </w:r>
          </w:p>
        </w:tc>
        <w:tc>
          <w:tcPr>
            <w:tcW w:w="1220" w:type="dxa"/>
            <w:vAlign w:val="bottom"/>
          </w:tcPr>
          <w:p>
            <w:pPr>
              <w:spacing w:after="0"/>
              <w:rPr>
                <w:sz w:val="24"/>
                <w:szCs w:val="24"/>
                <w:color w:val="auto"/>
              </w:rPr>
            </w:pPr>
          </w:p>
        </w:tc>
      </w:tr>
      <w:tr>
        <w:trPr>
          <w:trHeight w:val="432"/>
        </w:trPr>
        <w:tc>
          <w:tcPr>
            <w:tcW w:w="2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 [ ]</w:t>
            </w:r>
          </w:p>
        </w:tc>
      </w:tr>
      <w:tr>
        <w:trPr>
          <w:trHeight w:val="59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 [______]</w:t>
            </w:r>
          </w:p>
        </w:tc>
        <w:tc>
          <w:tcPr>
            <w:tcW w:w="7480" w:type="dxa"/>
            <w:vAlign w:val="bottom"/>
          </w:tcPr>
          <w:p>
            <w:pPr>
              <w:ind w:left="6700"/>
              <w:spacing w:after="0"/>
              <w:rPr>
                <w:sz w:val="20"/>
                <w:szCs w:val="20"/>
                <w:color w:val="auto"/>
              </w:rPr>
            </w:pPr>
            <w:r>
              <w:rPr>
                <w:rFonts w:ascii="Times New Roman" w:cs="Times New Roman" w:eastAsia="Times New Roman" w:hAnsi="Times New Roman"/>
                <w:sz w:val="18"/>
                <w:szCs w:val="18"/>
                <w:color w:val="auto"/>
                <w:w w:val="96"/>
              </w:rPr>
              <w:t>[Initially]</w:t>
            </w:r>
            <w:r>
              <w:rPr>
                <w:rFonts w:ascii="Times New Roman" w:cs="Times New Roman" w:eastAsia="Times New Roman" w:hAnsi="Times New Roman"/>
                <w:sz w:val="29"/>
                <w:szCs w:val="29"/>
                <w:color w:val="auto"/>
                <w:w w:val="96"/>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$[___________]</w:t>
            </w:r>
          </w:p>
        </w:tc>
      </w:tr>
    </w:tbl>
    <w:p>
      <w:pPr>
        <w:spacing w:after="0" w:line="71" w:lineRule="exact"/>
        <w:rPr>
          <w:sz w:val="20"/>
          <w:szCs w:val="20"/>
          <w:color w:val="auto"/>
        </w:rPr>
      </w:pPr>
    </w:p>
    <w:p>
      <w:pPr>
        <w:ind w:right="200" w:firstLine="648"/>
        <w:spacing w:after="0" w:line="230" w:lineRule="auto"/>
        <w:rPr>
          <w:sz w:val="20"/>
          <w:szCs w:val="20"/>
          <w:color w:val="auto"/>
        </w:rPr>
      </w:pPr>
      <w:r>
        <w:rPr>
          <w:rFonts w:ascii="Times New Roman" w:cs="Times New Roman" w:eastAsia="Times New Roman" w:hAnsi="Times New Roman"/>
          <w:sz w:val="17"/>
          <w:szCs w:val="17"/>
          <w:color w:val="auto"/>
        </w:rPr>
        <w:t xml:space="preserve">Bitfarms Ltd., a corporation organized and existing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8"/>
          <w:szCs w:val="28"/>
          <w:color w:val="auto"/>
          <w:vertAlign w:val="superscript"/>
        </w:rPr>
        <w:t>5</w:t>
      </w:r>
    </w:p>
    <w:p>
      <w:pPr>
        <w:spacing w:after="0" w:line="185" w:lineRule="auto"/>
        <w:rPr>
          <w:sz w:val="20"/>
          <w:szCs w:val="20"/>
          <w:color w:val="auto"/>
        </w:rPr>
      </w:pPr>
      <w:r>
        <w:rPr>
          <w:rFonts w:ascii="Times New Roman" w:cs="Times New Roman" w:eastAsia="Times New Roman" w:hAnsi="Times New Roman"/>
          <w:sz w:val="18"/>
          <w:szCs w:val="18"/>
          <w:color w:val="auto"/>
        </w:rPr>
        <w:t>[___________]</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or registered assigns, the principal sum [as set forth in the “Schedule of Exchanges of Notes” attached hereto]</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[of $[_______]]</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which</w:t>
      </w:r>
    </w:p>
    <w:p>
      <w:pPr>
        <w:jc w:val="both"/>
        <w:ind w:right="420"/>
        <w:spacing w:after="0" w:line="254" w:lineRule="auto"/>
        <w:rPr>
          <w:sz w:val="20"/>
          <w:szCs w:val="20"/>
          <w:color w:val="auto"/>
        </w:rPr>
      </w:pPr>
      <w:r>
        <w:rPr>
          <w:rFonts w:ascii="Times New Roman" w:cs="Times New Roman" w:eastAsia="Times New Roman" w:hAnsi="Times New Roman"/>
          <w:sz w:val="18"/>
          <w:szCs w:val="18"/>
          <w:color w:val="auto"/>
        </w:rPr>
        <w:t>amount, taken together with the principal amounts of all other outstanding Notes, shall not, unless permitted by the Indenture, exceed $588,000,000 in aggregate at any time, in accordance with the rules and applicable procedures of the Depositary, on January 15, 2031, and interest thereon as set forth below.</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This Note shall bear cash interest at the rate of 1.375% per year from October 21, 2025, or from the most recent date to which interest had been paid or provided for, but excluding, the next scheduled Interest Payment Date until January 15, 2031. Interest is payable semi-annually in arrears on each January 15 and July 15, commencing on July 15, 2026, to Holders of record at the close of business on the preceding January 1 and July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87"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87"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definitive note.</w:t>
      </w:r>
    </w:p>
    <w:p>
      <w:pPr>
        <w:spacing w:after="0" w:line="87"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87"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definitive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the Borough of Manhattan, The City of New York, as a place where Notes may be presented for payment or for registration of transfer and exchange.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Common Shares or a combination of cash and Common Shares, as applicable,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or by facsimile by the Trustee or a duly authorized authenticating agent under the Indenture.</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BITFARMS LTD.</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1.375% Convertible Senior Note due 2031</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1.375%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$588,000,000 all issued or to be issued under and pursuant to an Indenture dated as of October 21,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Computershare Trust Company, N.A., as trustee, and Computershare Trust Company of Canada, as Canadian co-trustee (together, with Computershare Trust Company, N.A.,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applicable)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The Notes shall be denominated in U.S. dollars, and all cash payments due thereon shall be made in U.S. dollars. Capitalized terms used in this Note and not defined in this Note shall have the respective meanings set forth in the Indenture.</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 Redemption Date and the principal amount on the Maturity Date, as the case may be, to the Holder who surrenders a Note to a Paying Agent to collect such payments in respect of the Note.</w:t>
      </w:r>
    </w:p>
    <w:p>
      <w:pPr>
        <w:spacing w:after="0" w:line="176"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6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the consideration due upon conversion of, this Note at the place, at the respective times, at the rate and in the lawful money, Common Shares or a combination thereof, as the case may be, herein prescribed.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firstLine="648"/>
        <w:spacing w:after="0" w:line="256"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the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October 20, 2028 in accordance with the terms and subject to the conditions specified in the Indenture. The Notes shall be redeemable in full and not in part at the Company’s option for certain changes in Canadian tax law in accordance with the terms and subject to the conditions specified in the Indenture. No sinking fund is provided for the Notes.</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of a Fundamental Change, the Company shall be required to offer to repurchase for cash all of a Holder’s Notes on the Fundamental Change Repurchase Date at a price equal to the Fundamental Change Repurchase Price.</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Common Shares or a combination of cash and Common Shares, as applicable, at the Conversion Rate specified in the Indenture, as adjusted from time to time as provided in the Indenture.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0" w:name="page121"/>
    <w:bookmarkEnd w:id="120"/>
    <w:p>
      <w:pPr>
        <w:jc w:val="center"/>
        <w:ind w:right="-539"/>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jc w:val="right"/>
        <w:ind w:right="4920"/>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37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904" w:right="8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29"/>
          <w:szCs w:val="29"/>
          <w:b w:val="1"/>
          <w:bCs w:val="1"/>
          <w:color w:val="auto"/>
          <w:vertAlign w:val="superscript"/>
        </w:rPr>
        <w:t>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1.375% Convertible Senior Notes due 2031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______________ U.S. DOLLARS ($[________]). The following increases or decreases in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Note have been made: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Principal</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Amount of</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Amount of</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 of this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increase in</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decrease in</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Global Note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authorized</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following such</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signatory of</w:t>
            </w:r>
          </w:p>
        </w:tc>
      </w:tr>
      <w:tr>
        <w:trPr>
          <w:trHeight w:val="229"/>
        </w:trPr>
        <w:tc>
          <w:tcPr>
            <w:tcW w:w="2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this Global</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of this Global</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decrease or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Trustee or</w:t>
            </w:r>
          </w:p>
        </w:tc>
      </w:tr>
      <w:tr>
        <w:trPr>
          <w:trHeight w:val="241"/>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exchange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Note</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increase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Custodian</w:t>
            </w:r>
          </w:p>
        </w:tc>
      </w:tr>
      <w:tr>
        <w:trPr>
          <w:trHeight w:val="216"/>
        </w:trPr>
        <w:tc>
          <w:tcPr>
            <w:tcW w:w="28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9"/>
        </w:trPr>
        <w:tc>
          <w:tcPr>
            <w:tcW w:w="28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left="340" w:hanging="332"/>
        <w:spacing w:after="0" w:line="184" w:lineRule="auto"/>
        <w:tabs>
          <w:tab w:leader="none" w:pos="340" w:val="left"/>
        </w:tabs>
        <w:numPr>
          <w:ilvl w:val="0"/>
          <w:numId w:val="10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 if a global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NOTICE OF CONVERSION]</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1505 Energy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MN 55108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Bitfarms Ltd. Administrator</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Common Shares or a combination of cash and Common Shares, as applicable, in accordance with the terms of the Indenture referred to in this Note, and directs that any cash payable and any Common Shares issuable and deliverable upon such conversion, together with any cash for any fractional share, and any Notes representing any unconverted principal amount hereof, be issued and delivered to the registered Holder hereof unless a different name has been indicated below. If any Common Shares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Definitive Notes, the certificate numbers of the Notes to be converted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28460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Shares are to be issued, or Notes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other 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Fill in for registration of shares if to be issued, and Notes if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543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$__________,000</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 the</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Note in every particular without alteration or enlargement 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280035</wp:posOffset>
            </wp:positionV>
            <wp:extent cx="284607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FUNDAMENTAL CHANGE REPURCHASE OFFER ACCEPTANCE NOTICE]</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1505 Energy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MN 55108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Bitfarms Ltd. Administrator</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accepts the Company’s offer to repurchase therein in respect of,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Definitive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Shares are to be issued, or Notes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other 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Fill in for registration of shares if to be issued, and Notes if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543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amount to be purchased (if less than all):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$__________,000</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 the</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Note in every particular without alteration or enlargement 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280035</wp:posOffset>
            </wp:positionV>
            <wp:extent cx="284607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received_________________________hereby sell(s), assign(s) and transfer(s) unto_____________________Please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appoints__________________ attorney to transfer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Restricted Security, the undersigned confirms that such Note is being transferred:</w:t>
      </w:r>
    </w:p>
    <w:p>
      <w:pPr>
        <w:spacing w:after="0" w:line="184" w:lineRule="exact"/>
        <w:rPr>
          <w:sz w:val="20"/>
          <w:szCs w:val="20"/>
          <w:color w:val="auto"/>
        </w:rPr>
      </w:pPr>
    </w:p>
    <w:p>
      <w:pPr>
        <w:ind w:left="660" w:hanging="652"/>
        <w:spacing w:after="0" w:line="207"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Bitfarms Ltd. or a subsidiary thereof;</w:t>
      </w:r>
    </w:p>
    <w:p>
      <w:pPr>
        <w:spacing w:after="0" w:line="225"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 registration statement that has become or been declared effective under the Securities Act of 1933, as amended;</w:t>
      </w:r>
    </w:p>
    <w:p>
      <w:pPr>
        <w:spacing w:after="0" w:line="225"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and in compliance with Rule 144A under the Securities Act of 1933, as amended; or</w:t>
      </w:r>
    </w:p>
    <w:p>
      <w:pPr>
        <w:spacing w:after="0" w:line="225" w:lineRule="exact"/>
        <w:rPr>
          <w:rFonts w:ascii="Times New Roman" w:cs="Times New Roman" w:eastAsia="Times New Roman" w:hAnsi="Times New Roman"/>
          <w:sz w:val="18"/>
          <w:szCs w:val="18"/>
          <w:color w:val="auto"/>
        </w:rPr>
      </w:pPr>
    </w:p>
    <w:p>
      <w:pPr>
        <w:ind w:left="980" w:right="580" w:hanging="972"/>
        <w:spacing w:after="0" w:line="245" w:lineRule="exact"/>
        <w:tabs>
          <w:tab w:leader="none" w:pos="656"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and in compliance with Rule 144 under the Securities Act of 1933, as amended, or any other available exemption from the registration requirements of the Securities Act of 1933, as amended.</w:t>
      </w:r>
    </w:p>
    <w:p>
      <w:pPr>
        <w:spacing w:after="0" w:line="19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undersigned further confirms that such Note is being transferred outside Canada, or pursuant to an exemption from the prospectus requirements of Canadian securities laws if the Notes remain subject to any restriction on transfer under Canadian securities laws.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Unless one of the boxes is checked, the Trustee shall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items (4) or (5) are checked, the Company or the Trustee may require, prior to registering any such transfer of the Notes, such legal opinions, certifications and other information as the Company has reasonably requested to confirm that such transfer is being made in compliance with all transfer restrictions applicable to the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Dated:______________________________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28543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Bid Version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October [__],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22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w:t>
      </w:r>
      <w:r>
        <w:rPr>
          <w:rFonts w:ascii="Times New Roman" w:cs="Times New Roman" w:eastAsia="Times New Roman" w:hAnsi="Times New Roman"/>
          <w:sz w:val="18"/>
          <w:szCs w:val="18"/>
          <w:i w:val="1"/>
          <w:iCs w:val="1"/>
          <w:color w:val="auto"/>
        </w:rPr>
        <w:t>Dealer Name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Bitfarms Ltd.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7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7"/>
          <w:szCs w:val="17"/>
          <w:color w:val="auto"/>
        </w:rPr>
        <w:t>The definitions and provisions contained in the 2002 ISDA Equity Derivatives Definitions (the “</w:t>
      </w:r>
      <w:r>
        <w:rPr>
          <w:rFonts w:ascii="Times New Roman" w:cs="Times New Roman" w:eastAsia="Times New Roman" w:hAnsi="Times New Roman"/>
          <w:sz w:val="17"/>
          <w:szCs w:val="17"/>
          <w:b w:val="1"/>
          <w:bCs w:val="1"/>
          <w:color w:val="auto"/>
        </w:rPr>
        <w:t>Equity Definitions</w:t>
      </w:r>
      <w:r>
        <w:rPr>
          <w:rFonts w:ascii="Times New Roman" w:cs="Times New Roman" w:eastAsia="Times New Roman" w:hAnsi="Times New Roman"/>
          <w:sz w:val="17"/>
          <w:szCs w:val="17"/>
          <w:color w:val="auto"/>
        </w:rPr>
        <w:t>”), as published by the International Swaps and Derivatives Association, Inc. (“</w:t>
      </w:r>
      <w:r>
        <w:rPr>
          <w:rFonts w:ascii="Times New Roman" w:cs="Times New Roman" w:eastAsia="Times New Roman" w:hAnsi="Times New Roman"/>
          <w:sz w:val="17"/>
          <w:szCs w:val="17"/>
          <w:b w:val="1"/>
          <w:bCs w:val="1"/>
          <w:color w:val="auto"/>
        </w:rPr>
        <w:t>ISDA</w:t>
      </w:r>
      <w:r>
        <w:rPr>
          <w:rFonts w:ascii="Times New Roman" w:cs="Times New Roman" w:eastAsia="Times New Roman" w:hAnsi="Times New Roman"/>
          <w:sz w:val="17"/>
          <w:szCs w:val="17"/>
          <w:color w:val="auto"/>
        </w:rPr>
        <w:t>”) are incorporated into this Confirmation. In the event of any inconsistency between the Equity Definitions and this Confirmation, this Confirmation shall govern. Certain defined terms used herein are based on terms that are defined in the Preliminary Offering Memorandum dated October 15, 2025 (the “</w:t>
      </w:r>
      <w:r>
        <w:rPr>
          <w:rFonts w:ascii="Times New Roman" w:cs="Times New Roman" w:eastAsia="Times New Roman" w:hAnsi="Times New Roman"/>
          <w:sz w:val="17"/>
          <w:szCs w:val="17"/>
          <w:b w:val="1"/>
          <w:bCs w:val="1"/>
          <w:color w:val="auto"/>
        </w:rPr>
        <w:t>Offering Memorandum</w:t>
      </w:r>
      <w:r>
        <w:rPr>
          <w:rFonts w:ascii="Times New Roman" w:cs="Times New Roman" w:eastAsia="Times New Roman" w:hAnsi="Times New Roman"/>
          <w:sz w:val="17"/>
          <w:szCs w:val="17"/>
          <w:color w:val="auto"/>
        </w:rPr>
        <w:t>”) relating to the 1.375% Convertible Senior Notes due 2031 (as originally issued by Counterparty, the “</w:t>
      </w:r>
      <w:r>
        <w:rPr>
          <w:rFonts w:ascii="Times New Roman" w:cs="Times New Roman" w:eastAsia="Times New Roman" w:hAnsi="Times New Roman"/>
          <w:sz w:val="17"/>
          <w:szCs w:val="17"/>
          <w:b w:val="1"/>
          <w:bCs w:val="1"/>
          <w:color w:val="auto"/>
        </w:rPr>
        <w:t>Convertible Notes</w:t>
      </w:r>
      <w:r>
        <w:rPr>
          <w:rFonts w:ascii="Times New Roman" w:cs="Times New Roman" w:eastAsia="Times New Roman" w:hAnsi="Times New Roman"/>
          <w:sz w:val="17"/>
          <w:szCs w:val="17"/>
          <w:color w:val="auto"/>
        </w:rPr>
        <w:t>” and each USD 1,000 principal amount of Convertible Notes, a “</w:t>
      </w:r>
      <w:r>
        <w:rPr>
          <w:rFonts w:ascii="Times New Roman" w:cs="Times New Roman" w:eastAsia="Times New Roman" w:hAnsi="Times New Roman"/>
          <w:sz w:val="17"/>
          <w:szCs w:val="17"/>
          <w:b w:val="1"/>
          <w:bCs w:val="1"/>
          <w:color w:val="auto"/>
        </w:rPr>
        <w:t>Convertible Note</w:t>
      </w:r>
      <w:r>
        <w:rPr>
          <w:rFonts w:ascii="Times New Roman" w:cs="Times New Roman" w:eastAsia="Times New Roman" w:hAnsi="Times New Roman"/>
          <w:sz w:val="17"/>
          <w:szCs w:val="17"/>
          <w:color w:val="auto"/>
        </w:rPr>
        <w:t>”) issued by Counterparty in an aggregate initial principal amount of USD [500,000,000] (as increased by [up to]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 aggregate principal amount of USD [88,000,000]</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[if and to the extent that]</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[pursuant to the exercise by]</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the Initial Purchasers (as defined herein) [exercise]</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[of]</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their option to purchase additional Convertible Notes pursuant to the Purchase Agreement (as defined herein)) pursuant to an Indenture to be dated October 21, 2025 between Counterparty and Computershare Trust Company, N.A., as trustee and Computershare Trust Company of Canada, as Canadian Co-Trustee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w:t>
      </w:r>
    </w:p>
    <w:p>
      <w:pPr>
        <w:spacing w:after="0" w:line="6" w:lineRule="exact"/>
        <w:rPr>
          <w:sz w:val="20"/>
          <w:szCs w:val="20"/>
          <w:color w:val="auto"/>
        </w:rPr>
      </w:pPr>
    </w:p>
    <w:p>
      <w:pPr>
        <w:ind w:right="480"/>
        <w:spacing w:after="0" w:line="209" w:lineRule="auto"/>
        <w:rPr>
          <w:sz w:val="20"/>
          <w:szCs w:val="20"/>
          <w:color w:val="auto"/>
        </w:rPr>
      </w:pPr>
      <w:r>
        <w:rPr>
          <w:rFonts w:ascii="Times New Roman" w:cs="Times New Roman" w:eastAsia="Times New Roman" w:hAnsi="Times New Roman"/>
          <w:sz w:val="18"/>
          <w:szCs w:val="18"/>
          <w:color w:val="auto"/>
        </w:rPr>
        <w:t>amended or supplemented following such date (other than any amendment or supplement (x) pursuant to Section [10.01(i)]</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of the Indenture that, as determined by the Calculation Agent, conforms the Indenture to the description of Convertible Notes in the Offering Memorandum or (y) pursuant to</w:t>
      </w:r>
    </w:p>
    <w:p>
      <w:pPr>
        <w:spacing w:after="0" w:line="2" w:lineRule="exact"/>
        <w:rPr>
          <w:sz w:val="20"/>
          <w:szCs w:val="20"/>
          <w:color w:val="auto"/>
        </w:rPr>
      </w:pPr>
    </w:p>
    <w:p>
      <w:pPr>
        <w:ind w:right="380"/>
        <w:spacing w:after="0" w:line="209" w:lineRule="auto"/>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of the Indenture, subject, in the case of this clause (y), to the second paragraph under “Method of Adjustment” in Section 3), any such amendment or supplement will be disregarded for purposes of this Confirmation unless the parties agree otherwise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9"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the Base Call Option Confirmation.</w:t>
      </w:r>
    </w:p>
    <w:p>
      <w:pPr>
        <w:ind w:left="340" w:hanging="332"/>
        <w:spacing w:after="0" w:line="180" w:lineRule="auto"/>
        <w:tabs>
          <w:tab w:leader="none" w:pos="340" w:val="left"/>
        </w:tabs>
        <w:numPr>
          <w:ilvl w:val="0"/>
          <w:numId w:val="10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Base Call Option Confirmation.</w:t>
      </w:r>
    </w:p>
    <w:p>
      <w:pPr>
        <w:ind w:left="340" w:hanging="332"/>
        <w:spacing w:after="0" w:line="180" w:lineRule="auto"/>
        <w:tabs>
          <w:tab w:leader="none" w:pos="34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Additional Call Option Confirmation.</w:t>
      </w:r>
    </w:p>
    <w:p>
      <w:pPr>
        <w:ind w:left="340" w:hanging="332"/>
        <w:spacing w:after="0" w:line="180" w:lineRule="auto"/>
        <w:tabs>
          <w:tab w:leader="none" w:pos="340"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Base Call Option Confirmation.</w:t>
      </w:r>
    </w:p>
    <w:p>
      <w:pPr>
        <w:ind w:left="340" w:hanging="332"/>
        <w:spacing w:after="0" w:line="181" w:lineRule="auto"/>
        <w:tabs>
          <w:tab w:leader="none" w:pos="340" w:val="left"/>
        </w:tabs>
        <w:numPr>
          <w:ilvl w:val="0"/>
          <w:numId w:val="10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Additional Call Option Confirmation.</w:t>
      </w:r>
    </w:p>
    <w:p>
      <w:pPr>
        <w:ind w:left="340" w:hanging="332"/>
        <w:spacing w:after="0" w:line="180" w:lineRule="auto"/>
        <w:tabs>
          <w:tab w:leader="none" w:pos="340" w:val="left"/>
        </w:tabs>
        <w:numPr>
          <w:ilvl w:val="0"/>
          <w:numId w:val="1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permitting amendments without holder consent to conform the Indenture to the Description of Notes</w:t>
      </w:r>
    </w:p>
    <w:p>
      <w:pPr>
        <w:ind w:left="340" w:hanging="332"/>
        <w:spacing w:after="0" w:line="180" w:lineRule="auto"/>
        <w:tabs>
          <w:tab w:leader="none" w:pos="340" w:val="left"/>
        </w:tabs>
        <w:numPr>
          <w:ilvl w:val="0"/>
          <w:numId w:val="1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relating to Merger Events and Reference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9" w:name="page130"/>
    <w:bookmarkEnd w:id="129"/>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right="20" w:firstLine="8"/>
        <w:spacing w:after="0" w:line="252" w:lineRule="auto"/>
        <w:tabs>
          <w:tab w:leader="none" w:pos="1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on the Trade Date (but without any Schedule except for (i) the election of the laws of the State of New York as the governing law (without reference to choice of law doctrine), (ii) in respect of Section 5(a)(vi) of the Agreement, the election that the “Cross Default” provisions shall apply to Dealer with (a) a “Threshold Amount” of three percent of the shareholders’ equity of [Dealer][Dealer’s ultimate parent]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(iii) the modification that the term “Specified Indebtedness” shall have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9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w:t>
            </w:r>
          </w:p>
        </w:tc>
        <w:tc>
          <w:tcPr>
            <w:tcW w:w="774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53"/>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Trade Date:</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October [17], 2025</w:t>
            </w:r>
          </w:p>
        </w:tc>
      </w:tr>
      <w:tr>
        <w:trPr>
          <w:trHeight w:val="414"/>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Effective Date:</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The second Exchange Business Day immediately prior to the Premium Payment Date, subject to</w:t>
            </w:r>
          </w:p>
        </w:tc>
      </w:tr>
      <w:tr>
        <w:trPr>
          <w:trHeight w:val="234"/>
        </w:trPr>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Section 9(u).</w:t>
            </w:r>
          </w:p>
        </w:tc>
      </w:tr>
      <w:tr>
        <w:trPr>
          <w:trHeight w:val="432"/>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Style:</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432"/>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Type:</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Call</w:t>
            </w:r>
          </w:p>
        </w:tc>
      </w:tr>
      <w:tr>
        <w:trPr>
          <w:trHeight w:val="432"/>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Buyer:</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Seller:</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common shares of Counterparty (Exchange symbol “BITF”).</w:t>
            </w:r>
          </w:p>
        </w:tc>
      </w:tr>
      <w:tr>
        <w:trPr>
          <w:trHeight w:val="454"/>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Number of Options:</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[_______]</w:t>
            </w:r>
            <w:r>
              <w:rPr>
                <w:rFonts w:ascii="Times New Roman" w:cs="Times New Roman" w:eastAsia="Times New Roman" w:hAnsi="Times New Roman"/>
                <w:sz w:val="29"/>
                <w:szCs w:val="29"/>
                <w:color w:val="auto"/>
                <w:w w:val="99"/>
                <w:vertAlign w:val="superscript"/>
              </w:rPr>
              <w:t>8</w:t>
            </w:r>
            <w:r>
              <w:rPr>
                <w:rFonts w:ascii="Times New Roman" w:cs="Times New Roman" w:eastAsia="Times New Roman" w:hAnsi="Times New Roman"/>
                <w:sz w:val="18"/>
                <w:szCs w:val="18"/>
                <w:color w:val="auto"/>
                <w:w w:val="99"/>
              </w:rPr>
              <w:t>. For the avoidance of doubt, the Number of Options shall be reduced by any Options</w:t>
            </w:r>
          </w:p>
        </w:tc>
      </w:tr>
      <w:tr>
        <w:trPr>
          <w:trHeight w:val="234"/>
        </w:trPr>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exercised by Counterparty. In no event will the Number of Options be less than zero.</w:t>
            </w:r>
          </w:p>
        </w:tc>
      </w:tr>
      <w:tr>
        <w:trPr>
          <w:trHeight w:val="432"/>
        </w:trPr>
        <w:tc>
          <w:tcPr>
            <w:tcW w:w="2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Applicable Percentage:</w:t>
            </w:r>
          </w:p>
        </w:tc>
        <w:tc>
          <w:tcPr>
            <w:tcW w:w="7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tbl>
      <w:tblPr>
        <w:tblLayout w:type="fixed"/>
        <w:tblInd w:w="652" w:type="dxa"/>
        <w:tblCellMar>
          <w:top w:w="0" w:type="dxa"/>
          <w:left w:w="0" w:type="dxa"/>
          <w:bottom w:w="0" w:type="dxa"/>
          <w:right w:w="0" w:type="dxa"/>
        </w:tblCellMar>
      </w:tblPr>
      <w:tr>
        <w:trPr>
          <w:trHeight w:val="398"/>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Entitlement:</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[______]</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w:t>
            </w:r>
          </w:p>
        </w:tc>
      </w:tr>
      <w:tr>
        <w:trPr>
          <w:trHeight w:val="309"/>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Strike Price: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Cap Price: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Premium:</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Premium Payment Date: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October [_], 2025</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Exchange: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Related Exchange(s):</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595"/>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Excluded Provisions:</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[14.04(h)]</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and Section [14.03]</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of the Indenture.</w:t>
            </w:r>
          </w:p>
        </w:tc>
      </w:tr>
      <w:tr>
        <w:trPr>
          <w:trHeight w:val="287"/>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Conversion Date: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With respect to any conversion of a Convertible Note occurring prior to the Free Convertibility</w:t>
            </w:r>
          </w:p>
        </w:tc>
      </w:tr>
      <w:tr>
        <w:trPr>
          <w:trHeight w:val="220"/>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Date (any such conversion, an “</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 the date on which the “Holder” (as such</w:t>
            </w:r>
          </w:p>
        </w:tc>
      </w:tr>
      <w:tr>
        <w:trPr>
          <w:trHeight w:val="220"/>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term is defined in the Indenture) of such Convertible Note satisfies all of the requirements for</w:t>
            </w:r>
          </w:p>
        </w:tc>
      </w:tr>
      <w:tr>
        <w:trPr>
          <w:trHeight w:val="394"/>
        </w:trPr>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conversion thereof as set forth in Section [14.02(b)]</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of the Indenture;</w:t>
            </w:r>
          </w:p>
        </w:tc>
      </w:tr>
      <w:tr>
        <w:trPr>
          <w:trHeight w:val="309"/>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Convertibility Date: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October 15, 2030</w:t>
            </w:r>
          </w:p>
        </w:tc>
      </w:tr>
      <w:tr>
        <w:trPr>
          <w:trHeight w:val="391"/>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p>
        </w:tc>
        <w:tc>
          <w:tcPr>
            <w:tcW w:w="7600" w:type="dxa"/>
            <w:vAlign w:val="bottom"/>
          </w:tcPr>
          <w:p>
            <w:pPr>
              <w:spacing w:after="0"/>
              <w:rPr>
                <w:sz w:val="24"/>
                <w:szCs w:val="24"/>
                <w:color w:val="auto"/>
              </w:rPr>
            </w:pPr>
          </w:p>
        </w:tc>
      </w:tr>
      <w:tr>
        <w:trPr>
          <w:trHeight w:val="453"/>
        </w:trPr>
        <w:tc>
          <w:tcPr>
            <w:tcW w:w="17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Expiration Time:</w:t>
            </w:r>
          </w:p>
        </w:tc>
        <w:tc>
          <w:tcPr>
            <w:tcW w:w="1080" w:type="dxa"/>
            <w:vAlign w:val="bottom"/>
          </w:tcPr>
          <w:p>
            <w:pPr>
              <w:spacing w:after="0"/>
              <w:rPr>
                <w:sz w:val="24"/>
                <w:szCs w:val="24"/>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Expiration Date: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January 15, 2031, subject to earlier exercise.</w:t>
            </w:r>
          </w:p>
        </w:tc>
      </w:tr>
      <w:tr>
        <w:trPr>
          <w:trHeight w:val="432"/>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Multiple Exercise: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Applicable, as described under “Automatic Exercise” below.</w:t>
            </w:r>
          </w:p>
        </w:tc>
      </w:tr>
      <w:tr>
        <w:trPr>
          <w:trHeight w:val="414"/>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Automatic Exercise: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Notwithstanding Section 3.4 of the Equity Definitions or anything to the contrary in this</w:t>
            </w:r>
          </w:p>
        </w:tc>
      </w:tr>
      <w:tr>
        <w:trPr>
          <w:trHeight w:val="216"/>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Confirmation, unless Counterparty notifies Dealer in writing prior to 5:00 p.m. (New York City</w:t>
            </w:r>
          </w:p>
        </w:tc>
      </w:tr>
      <w:tr>
        <w:trPr>
          <w:trHeight w:val="216"/>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time) on the Expiration Date that it does not wish Automatic Exercise to occur, all Options then</w:t>
            </w:r>
          </w:p>
        </w:tc>
      </w:tr>
      <w:tr>
        <w:trPr>
          <w:trHeight w:val="216"/>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outstanding as of 5:00 p.m. (New York City time) on the Expiration Date will be deemed to be</w:t>
            </w:r>
          </w:p>
        </w:tc>
      </w:tr>
      <w:tr>
        <w:trPr>
          <w:trHeight w:val="234"/>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automatically exercised.</w:t>
            </w:r>
          </w:p>
        </w:tc>
      </w:tr>
      <w:tr>
        <w:trPr>
          <w:trHeight w:val="414"/>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Valuation Time:</w:t>
            </w: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w:t>
            </w:r>
          </w:p>
        </w:tc>
      </w:tr>
      <w:tr>
        <w:trPr>
          <w:trHeight w:val="216"/>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principal trading session is extended, the Calculation Agent shall determine the Valuation Time</w:t>
            </w:r>
          </w:p>
        </w:tc>
      </w:tr>
      <w:tr>
        <w:trPr>
          <w:trHeight w:val="234"/>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 good faith and in its commercially reasonable discretion.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7830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32" w:hanging="332"/>
        <w:spacing w:after="0"/>
        <w:tabs>
          <w:tab w:leader="none" w:pos="332"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initial Conversion Rate for the Convertible Notes.</w:t>
      </w:r>
    </w:p>
    <w:p>
      <w:pPr>
        <w:ind w:left="332" w:hanging="332"/>
        <w:spacing w:after="0" w:line="180" w:lineRule="auto"/>
        <w:tabs>
          <w:tab w:leader="none" w:pos="332"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containing discretionary adjustments to the Conversion Rate by Counterparty.</w:t>
      </w:r>
    </w:p>
    <w:p>
      <w:pPr>
        <w:spacing w:after="0" w:line="2" w:lineRule="exact"/>
        <w:rPr>
          <w:rFonts w:ascii="Times New Roman" w:cs="Times New Roman" w:eastAsia="Times New Roman" w:hAnsi="Times New Roman"/>
          <w:sz w:val="25"/>
          <w:szCs w:val="25"/>
          <w:color w:val="auto"/>
          <w:vertAlign w:val="superscript"/>
        </w:rPr>
      </w:pPr>
    </w:p>
    <w:p>
      <w:pPr>
        <w:ind w:left="332" w:hanging="332"/>
        <w:spacing w:after="0" w:line="194" w:lineRule="auto"/>
        <w:tabs>
          <w:tab w:leader="none" w:pos="332"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dealing with make-whole adjustments to the Conversion Rate.</w:t>
      </w:r>
    </w:p>
    <w:p>
      <w:pPr>
        <w:spacing w:after="0" w:line="2" w:lineRule="exact"/>
        <w:rPr>
          <w:rFonts w:ascii="Times New Roman" w:cs="Times New Roman" w:eastAsia="Times New Roman" w:hAnsi="Times New Roman"/>
          <w:sz w:val="23"/>
          <w:szCs w:val="23"/>
          <w:color w:val="auto"/>
          <w:vertAlign w:val="superscript"/>
        </w:rPr>
      </w:pPr>
    </w:p>
    <w:p>
      <w:pPr>
        <w:ind w:left="332" w:hanging="332"/>
        <w:spacing w:after="0" w:line="194" w:lineRule="auto"/>
        <w:tabs>
          <w:tab w:leader="none" w:pos="332"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setting forth the requirements for conversion of the Convertible Notes.</w:t>
      </w:r>
    </w:p>
    <w:p>
      <w:pPr>
        <w:spacing w:after="0" w:line="200" w:lineRule="exact"/>
        <w:rPr>
          <w:sz w:val="20"/>
          <w:szCs w:val="20"/>
          <w:color w:val="auto"/>
        </w:rPr>
      </w:pPr>
    </w:p>
    <w:p>
      <w:pPr>
        <w:spacing w:after="0" w:line="214"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904" w:right="47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Market Disruption Event:</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6.3(a) of the Equity Definitions is hereby replaced in its entirety by the following:</w:t>
            </w:r>
          </w:p>
        </w:tc>
      </w:tr>
      <w:tr>
        <w:trPr>
          <w:trHeight w:val="414"/>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“‘Market Disruption Event’ means, in respect of a Share, (i) a failure by the principal United</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States national or regional securities exchange or market on which the Shares are then listed or</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admitted for trading to open for trading during its regular trading session or (ii) the occurrence or</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existence prior to 1:00 p.m. (New York City time) on any Scheduled Valid Day for the Shares for</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more than one half-hour period in the aggregate during regular trading hours of any suspension</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or limitation imposed on trading (by reason of movements in price exceeding limits permitted by</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relevant stock exchange or otherwise) in the Shares or in any options contracts or futures</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contracts relating to the Shares.”</w:t>
            </w:r>
          </w:p>
        </w:tc>
      </w:tr>
      <w:tr>
        <w:trPr>
          <w:trHeight w:val="391"/>
        </w:trPr>
        <w:tc>
          <w:tcPr>
            <w:tcW w:w="66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p>
        </w:tc>
        <w:tc>
          <w:tcPr>
            <w:tcW w:w="75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Method:</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 any Option, Cash Settlement.</w:t>
            </w:r>
          </w:p>
        </w:tc>
      </w:tr>
      <w:tr>
        <w:trPr>
          <w:trHeight w:val="410"/>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Cash Settlement:</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 lieu of Section 8.1 of the Equity Definitions, Dealer will pay to Counterparty, on the relevant</w:t>
            </w:r>
          </w:p>
        </w:tc>
      </w:tr>
      <w:tr>
        <w:trPr>
          <w:trHeight w:val="220"/>
        </w:trPr>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w:t>
            </w:r>
          </w:p>
        </w:tc>
      </w:tr>
      <w:tr>
        <w:trPr>
          <w:trHeight w:val="214"/>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equal to the sum, for each Valid Day during the Settlement Averaging Period for such Option, of</w:t>
            </w:r>
          </w:p>
        </w:tc>
      </w:tr>
      <w:tr>
        <w:trPr>
          <w:trHeight w:val="218"/>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Settlement Averaging Period.</w:t>
            </w:r>
          </w:p>
        </w:tc>
      </w:tr>
      <w:tr>
        <w:trPr>
          <w:trHeight w:val="412"/>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Daily Option Value:</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(ii) (A) the lesser of the Relevant Price on such Valid Day and the Cap Price,</w:t>
            </w:r>
            <w:r>
              <w:rPr>
                <w:rFonts w:ascii="Times New Roman" w:cs="Times New Roman" w:eastAsia="Times New Roman" w:hAnsi="Times New Roman"/>
                <w:sz w:val="18"/>
                <w:szCs w:val="18"/>
                <w:i w:val="1"/>
                <w:iCs w:val="1"/>
                <w:color w:val="auto"/>
              </w:rPr>
              <w:t xml:space="preserve"> less </w:t>
            </w:r>
            <w:r>
              <w:rPr>
                <w:rFonts w:ascii="Times New Roman" w:cs="Times New Roman" w:eastAsia="Times New Roman" w:hAnsi="Times New Roman"/>
                <w:sz w:val="18"/>
                <w:szCs w:val="18"/>
                <w:color w:val="auto"/>
              </w:rPr>
              <w:t>(B) the</w:t>
            </w:r>
          </w:p>
        </w:tc>
      </w:tr>
      <w:tr>
        <w:trPr>
          <w:trHeight w:val="218"/>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results in a negative number, the Daily Option Value for such Valid Day shall be deemed to be</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zero. In no event will the Daily Option Value be less than zero.</w:t>
            </w:r>
          </w:p>
        </w:tc>
      </w:tr>
      <w:tr>
        <w:trPr>
          <w:trHeight w:val="414"/>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Valid Day:</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occurs on the Exchange or, if the Shares are not then listed on the Exchange, on the principal</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United States national or regional securities exchange on which the Shares are then listed</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or admitted for trading. If the Shares are not so listed or admitted for trading, “Valid Day” means</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Business Day.</w:t>
            </w:r>
          </w:p>
        </w:tc>
      </w:tr>
      <w:tr>
        <w:trPr>
          <w:trHeight w:val="414"/>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Scheduled Valid Day:</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day that is scheduled to be a Valid Day on the principal United States national or regional</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securities exchange or market on which the Shares are listed or admitted for trading. If the Shares</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are not so listed or admitted for trading, “Scheduled Valid Day” means a Business Day.</w:t>
            </w:r>
          </w:p>
        </w:tc>
      </w:tr>
      <w:tr>
        <w:trPr>
          <w:trHeight w:val="414"/>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Business Day:</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Any day other than a Saturday, a Sunday or a day on which the Federal Reserve Bank of New</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York or commercial banks in New York are authorized or required by law or executive order to</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close or be closed.</w:t>
            </w:r>
          </w:p>
        </w:tc>
      </w:tr>
      <w:tr>
        <w:trPr>
          <w:trHeight w:val="414"/>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Relevant Price:</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“Bloomberg VWAP” on Bloomberg page BITF &lt;equity&gt; AQR (or its equivalent successor if</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such page is not available) in respect of the period from the scheduled open of trading until the</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scheduled close of trading of the primary trading session on such Valid Day (or if such volume-</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weighted average price is unavailable, the market value of one Share on such Valid Day, as</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determined by the Calculation Agent in good faith and in a commercially reasonable manner</w:t>
            </w: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using, if practicable, a volume-weighted average method). The Relevant Price will be determined</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without regard to after-hours trading or any other trading outside of the regular trading session.</w:t>
            </w:r>
          </w:p>
        </w:tc>
      </w:tr>
      <w:tr>
        <w:trPr>
          <w:trHeight w:val="414"/>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Averaging Period:</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 any Option the 30 consecutive Valid Days commencing on, and including, the 31st</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Scheduled Valid Day immediately prior to the Expiration Date.</w:t>
            </w:r>
          </w:p>
        </w:tc>
      </w:tr>
      <w:tr>
        <w:trPr>
          <w:trHeight w:val="414"/>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Date:</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 any Option, the second Business Day immediately following the final Valid Day of the</w:t>
            </w: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Settlement Averaging Period for such Option.</w:t>
            </w:r>
          </w:p>
        </w:tc>
      </w:tr>
      <w:tr>
        <w:trPr>
          <w:trHeight w:val="432"/>
        </w:trPr>
        <w:tc>
          <w:tcPr>
            <w:tcW w:w="66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Currency:</w:t>
            </w:r>
          </w:p>
        </w:tc>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USD</w:t>
            </w:r>
          </w:p>
        </w:tc>
      </w:tr>
      <w:tr>
        <w:trPr>
          <w:trHeight w:val="655"/>
        </w:trPr>
        <w:tc>
          <w:tcPr>
            <w:tcW w:w="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132" w:name="page133"/>
    <w:bookmarkEnd w:id="132"/>
    <w:p>
      <w:pPr>
        <w:ind w:left="180" w:hanging="172"/>
        <w:spacing w:after="0"/>
        <w:tabs>
          <w:tab w:leader="none" w:pos="18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Adjustments applicable to the Transaction:</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Potential Adjustment Events: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w:t>
      </w:r>
    </w:p>
    <w:p>
      <w:pPr>
        <w:spacing w:after="0" w:line="4" w:lineRule="exact"/>
        <w:rPr>
          <w:sz w:val="20"/>
          <w:szCs w:val="20"/>
          <w:color w:val="auto"/>
        </w:rPr>
      </w:pPr>
    </w:p>
    <w:p>
      <w:pPr>
        <w:sectPr>
          <w:pgSz w:w="11900" w:h="16838" w:orient="portrait"/>
          <w:cols w:equalWidth="0" w:num="2">
            <w:col w:w="3500" w:space="720"/>
            <w:col w:w="7020"/>
          </w:cols>
          <w:pgMar w:left="320" w:top="900" w:right="339" w:bottom="1440" w:gutter="0" w:footer="0" w:header="0"/>
          <w:type w:val="continuous"/>
        </w:sectPr>
      </w:pPr>
    </w:p>
    <w:p>
      <w:pPr>
        <w:ind w:left="4220" w:right="240"/>
        <w:spacing w:after="0" w:line="354" w:lineRule="auto"/>
        <w:rPr>
          <w:sz w:val="20"/>
          <w:szCs w:val="20"/>
          <w:color w:val="auto"/>
        </w:rPr>
      </w:pPr>
      <w:r>
        <w:rPr>
          <w:rFonts w:ascii="Times New Roman" w:cs="Times New Roman" w:eastAsia="Times New Roman" w:hAnsi="Times New Roman"/>
          <w:sz w:val="18"/>
          <w:szCs w:val="18"/>
          <w:color w:val="auto"/>
        </w:rPr>
        <w:t>limitation, pursuant to [the second sentence of the first paragraph of Section 14.04(c)]</w:t>
      </w:r>
      <w:r>
        <w:rPr>
          <w:rFonts w:ascii="Times New Roman" w:cs="Times New Roman" w:eastAsia="Times New Roman" w:hAnsi="Times New Roman"/>
          <w:sz w:val="14"/>
          <w:szCs w:val="14"/>
          <w:color w:val="auto"/>
        </w:rPr>
        <w:t>13</w:t>
      </w:r>
      <w:r>
        <w:rPr>
          <w:rFonts w:ascii="Times New Roman" w:cs="Times New Roman" w:eastAsia="Times New Roman" w:hAnsi="Times New Roman"/>
          <w:sz w:val="18"/>
          <w:szCs w:val="18"/>
          <w:color w:val="auto"/>
        </w:rPr>
        <w:t xml:space="preserve"> of the Indenture or [the fourth sentence of Section 14.04(d)]</w:t>
      </w:r>
      <w:r>
        <w:rPr>
          <w:rFonts w:ascii="Times New Roman" w:cs="Times New Roman" w:eastAsia="Times New Roman" w:hAnsi="Times New Roman"/>
          <w:sz w:val="14"/>
          <w:szCs w:val="14"/>
          <w:color w:val="auto"/>
        </w:rPr>
        <w:t>14</w:t>
      </w:r>
      <w:r>
        <w:rPr>
          <w:rFonts w:ascii="Times New Roman" w:cs="Times New Roman" w:eastAsia="Times New Roman" w:hAnsi="Times New Roman"/>
          <w:sz w:val="18"/>
          <w:szCs w:val="18"/>
          <w:color w:val="auto"/>
        </w:rPr>
        <w:t xml:space="preserve"> of the Indenture).</w:t>
      </w:r>
    </w:p>
    <w:p>
      <w:pPr>
        <w:sectPr>
          <w:pgSz w:w="11900" w:h="16838" w:orient="portrait"/>
          <w:cols w:equalWidth="0" w:num="1">
            <w:col w:w="11240"/>
          </w:cols>
          <w:pgMar w:left="320" w:top="900" w:right="339" w:bottom="1440" w:gutter="0" w:footer="0" w:header="0"/>
          <w:type w:val="continuous"/>
        </w:sectPr>
      </w:pPr>
    </w:p>
    <w:p>
      <w:pPr>
        <w:spacing w:after="0" w:line="1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Calculation Agent Adjustment, which means that, notwithstanding Section 11.2(c) of the Equity Definitions, upon any Potential Adjustment Event, the Calculation Agent, acting in good faith and commercially reasonably, taking into account the relevant provisions of the Indenture, shall make a corresponding adjustment to any one or more of the Strike Price, Number of Options, Option Entitlement and any other variable relevant to the exercise, settlement or payment for the Transaction.</w:t>
      </w:r>
    </w:p>
    <w:p>
      <w:pPr>
        <w:spacing w:after="0" w:line="187" w:lineRule="exact"/>
        <w:rPr>
          <w:sz w:val="20"/>
          <w:szCs w:val="20"/>
          <w:color w:val="auto"/>
        </w:rPr>
      </w:pPr>
    </w:p>
    <w:p>
      <w:pPr>
        <w:sectPr>
          <w:pgSz w:w="11900" w:h="16838" w:orient="portrait"/>
          <w:cols w:equalWidth="0" w:num="2">
            <w:col w:w="3500" w:space="720"/>
            <w:col w:w="7020"/>
          </w:cols>
          <w:pgMar w:left="320" w:top="900" w:right="33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w:t>
      </w:r>
    </w:p>
    <w:p>
      <w:pPr>
        <w:spacing w:after="0" w:line="225" w:lineRule="exact"/>
        <w:rPr>
          <w:sz w:val="20"/>
          <w:szCs w:val="20"/>
          <w:color w:val="auto"/>
        </w:rPr>
      </w:pPr>
    </w:p>
    <w:p>
      <w:pPr>
        <w:ind w:left="4860" w:right="120" w:hanging="639"/>
        <w:spacing w:after="0" w:line="276" w:lineRule="auto"/>
        <w:tabs>
          <w:tab w:leader="none" w:pos="484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if the Calculation Agent in good faith disagrees with any adjustment to the Convertible Notes that involves an exercise of discretion by Counterparty or its board of directors</w:t>
      </w:r>
    </w:p>
    <w:p>
      <w:pPr>
        <w:spacing w:after="0" w:line="1" w:lineRule="exact"/>
        <w:rPr>
          <w:sz w:val="20"/>
          <w:szCs w:val="20"/>
          <w:color w:val="auto"/>
        </w:rPr>
      </w:pPr>
    </w:p>
    <w:p>
      <w:pPr>
        <w:jc w:val="both"/>
        <w:ind w:left="4860" w:right="180"/>
        <w:spacing w:after="0" w:line="281" w:lineRule="auto"/>
        <w:rPr>
          <w:sz w:val="20"/>
          <w:szCs w:val="20"/>
          <w:color w:val="auto"/>
        </w:rPr>
      </w:pPr>
      <w:r>
        <w:rPr>
          <w:rFonts w:ascii="Times New Roman" w:cs="Times New Roman" w:eastAsia="Times New Roman" w:hAnsi="Times New Roman"/>
          <w:sz w:val="18"/>
          <w:szCs w:val="18"/>
          <w:color w:val="auto"/>
        </w:rPr>
        <w:t>(including, without limitation, pursuant to Section [14.05]</w:t>
      </w:r>
      <w:r>
        <w:rPr>
          <w:rFonts w:ascii="Times New Roman" w:cs="Times New Roman" w:eastAsia="Times New Roman" w:hAnsi="Times New Roman"/>
          <w:sz w:val="14"/>
          <w:szCs w:val="14"/>
          <w:color w:val="auto"/>
        </w:rPr>
        <w:t>15</w:t>
      </w:r>
      <w:r>
        <w:rPr>
          <w:rFonts w:ascii="Times New Roman" w:cs="Times New Roman" w:eastAsia="Times New Roman" w:hAnsi="Times New Roman"/>
          <w:sz w:val="18"/>
          <w:szCs w:val="18"/>
          <w:color w:val="auto"/>
        </w:rPr>
        <w:t xml:space="preserve"> of the Indenture, Section [14.07]</w:t>
      </w:r>
      <w:r>
        <w:rPr>
          <w:rFonts w:ascii="Times New Roman" w:cs="Times New Roman" w:eastAsia="Times New Roman" w:hAnsi="Times New Roman"/>
          <w:sz w:val="14"/>
          <w:szCs w:val="14"/>
          <w:color w:val="auto"/>
        </w:rPr>
        <w:t>16</w:t>
      </w:r>
      <w:r>
        <w:rPr>
          <w:rFonts w:ascii="Times New Roman" w:cs="Times New Roman" w:eastAsia="Times New Roman" w:hAnsi="Times New Roman"/>
          <w:sz w:val="18"/>
          <w:szCs w:val="18"/>
          <w:color w:val="auto"/>
        </w:rPr>
        <w:t xml:space="preserve"> of the Indenture or any supplemental indenture entered into thereunder or in connection with any proportional adjustment or the determination of the fair value of</w:t>
      </w:r>
    </w:p>
    <w:p>
      <w:pPr>
        <w:sectPr>
          <w:pgSz w:w="11900" w:h="16838" w:orient="portrait"/>
          <w:cols w:equalWidth="0" w:num="1">
            <w:col w:w="11240"/>
          </w:cols>
          <w:pgMar w:left="320" w:top="900" w:right="339" w:bottom="1440" w:gutter="0" w:footer="0" w:header="0"/>
          <w:type w:val="continuous"/>
        </w:sectPr>
      </w:pPr>
    </w:p>
    <w:p>
      <w:pPr>
        <w:spacing w:after="0" w:line="2" w:lineRule="exact"/>
        <w:rPr>
          <w:sz w:val="20"/>
          <w:szCs w:val="20"/>
          <w:color w:val="auto"/>
        </w:rPr>
      </w:pPr>
    </w:p>
    <w:p>
      <w:pPr>
        <w:ind w:left="4860" w:right="60"/>
        <w:spacing w:after="0" w:line="267" w:lineRule="auto"/>
        <w:rPr>
          <w:sz w:val="20"/>
          <w:szCs w:val="20"/>
          <w:color w:val="auto"/>
        </w:rPr>
      </w:pPr>
      <w:r>
        <w:rPr>
          <w:rFonts w:ascii="Times New Roman" w:cs="Times New Roman" w:eastAsia="Times New Roman" w:hAnsi="Times New Roman"/>
          <w:sz w:val="17"/>
          <w:szCs w:val="17"/>
          <w:color w:val="auto"/>
        </w:rPr>
        <w:t xml:space="preserve">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taking into account the relevant provisions of the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shall make a commercially reasonable adjustment, as determined by it, to the terms hereof in order to account for such Potential Adjustment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2" w:lineRule="exact"/>
        <w:rPr>
          <w:sz w:val="20"/>
          <w:szCs w:val="20"/>
          <w:color w:val="auto"/>
        </w:rPr>
      </w:pPr>
    </w:p>
    <w:p>
      <w:pPr>
        <w:ind w:left="340" w:hanging="332"/>
        <w:spacing w:after="0" w:line="195" w:lineRule="auto"/>
        <w:tabs>
          <w:tab w:leader="none" w:pos="34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cash,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adjustments where a Conversion Rate adjustment occurs during a period over which Last Reported Sale Prices, Daily VWAPs, Daily Conversion Value or Daily Settlement Amounts are calculated.</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relating to Reference Property.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3" w:name="page134"/>
    <w:bookmarkEnd w:id="133"/>
    <w:p>
      <w:pPr>
        <w:ind w:left="4860" w:right="120" w:hanging="640"/>
        <w:spacing w:after="0" w:line="226" w:lineRule="auto"/>
        <w:tabs>
          <w:tab w:leader="none" w:pos="4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Adjustment Event as a result of an event or condition set forth in Section [14.04(b)]</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of the Indenture or Section [14.04(c)]</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of the Indenture where, in either case, the period for determining “Y” (as such term is used in Section [14.04(b)]</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of the Indenture) or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such term is used in Section</w:t>
      </w:r>
    </w:p>
    <w:p>
      <w:pPr>
        <w:spacing w:after="0" w:line="1" w:lineRule="exact"/>
        <w:rPr>
          <w:rFonts w:ascii="Times New Roman" w:cs="Times New Roman" w:eastAsia="Times New Roman" w:hAnsi="Times New Roman"/>
          <w:sz w:val="18"/>
          <w:szCs w:val="18"/>
          <w:color w:val="auto"/>
        </w:rPr>
      </w:pPr>
    </w:p>
    <w:p>
      <w:pPr>
        <w:ind w:left="4860" w:right="6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[14.04(c)]</w:t>
      </w:r>
      <w:r>
        <w:rPr>
          <w:rFonts w:ascii="Times New Roman" w:cs="Times New Roman" w:eastAsia="Times New Roman" w:hAnsi="Times New Roman"/>
          <w:sz w:val="29"/>
          <w:szCs w:val="29"/>
          <w:color w:val="auto"/>
          <w:vertAlign w:val="superscript"/>
        </w:rPr>
        <w:t>20</w:t>
      </w:r>
      <w:r>
        <w:rPr>
          <w:rFonts w:ascii="Times New Roman" w:cs="Times New Roman" w:eastAsia="Times New Roman" w:hAnsi="Times New Roman"/>
          <w:sz w:val="18"/>
          <w:szCs w:val="18"/>
          <w:color w:val="auto"/>
        </w:rPr>
        <w:t xml:space="preserve"> of the Indenture), as the case may be, begins before Counterparty has publicly announced the event or condition giving rise to such Potential Adjustment Event, then the Calculation Agent shall have the right to adjust, in good faith and in a commercially reasonable manner, any variable relevant to the exercise, settlement or payment for the Transaction as appropriate to reflect the commercially reasonable costs (including, but not limited to, hedging mismatches and market losses) and expenses incurred by Dealer in connection with its commercially reasonable hedging activities as a result of such event or condition not having been publicly announced prior to the beginning of such period; and</w:t>
      </w:r>
    </w:p>
    <w:p>
      <w:pPr>
        <w:spacing w:after="0" w:line="200" w:lineRule="exact"/>
        <w:rPr>
          <w:rFonts w:ascii="Times New Roman" w:cs="Times New Roman" w:eastAsia="Times New Roman" w:hAnsi="Times New Roman"/>
          <w:sz w:val="18"/>
          <w:szCs w:val="18"/>
          <w:color w:val="auto"/>
        </w:rPr>
      </w:pPr>
    </w:p>
    <w:p>
      <w:pPr>
        <w:ind w:left="4860" w:right="40" w:hanging="640"/>
        <w:spacing w:after="0" w:line="252" w:lineRule="auto"/>
        <w:tabs>
          <w:tab w:leader="none" w:pos="4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 Adjustment Event Change</w:t>
      </w:r>
      <w:r>
        <w:rPr>
          <w:rFonts w:ascii="Times New Roman" w:cs="Times New Roman" w:eastAsia="Times New Roman" w:hAnsi="Times New Roman"/>
          <w:sz w:val="18"/>
          <w:szCs w:val="18"/>
          <w:color w:val="auto"/>
        </w:rPr>
        <w:t>”) then, in each case, the Calculation Agent shall have the right to adjust, in good faith and in a commercially reasonable manner, any variable relevant to the exercise, settlement or payment for the Transaction as appropriate to reflect the commercially reasonable costs (including, but not limited to, hedging mismatches and market losses) and commercially reasonable expenses incurred by Dealer in connection with its commercially reasonable hedging activities as a result of such Potential Adjustment Event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1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distributions of distributed property.</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tbl>
      <w:tblPr>
        <w:tblLayout w:type="fixed"/>
        <w:tblInd w:w="660" w:type="dxa"/>
        <w:tblCellMar>
          <w:top w:w="0" w:type="dxa"/>
          <w:left w:w="0" w:type="dxa"/>
          <w:bottom w:w="0" w:type="dxa"/>
          <w:right w:w="0" w:type="dxa"/>
        </w:tblCellMar>
      </w:tblPr>
      <w:tr>
        <w:trPr>
          <w:trHeight w:val="398"/>
        </w:trPr>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Dilution Adjustment Provisions:</w:t>
            </w: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Sections [14.04(a), (b), (c), (d) and (e)]</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and Section [14.05]</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of the Indenture.</w:t>
            </w:r>
          </w:p>
        </w:tc>
      </w:tr>
      <w:tr>
        <w:trPr>
          <w:trHeight w:val="309"/>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Events applicable to the Transaction:</w:t>
            </w:r>
          </w:p>
        </w:tc>
      </w:tr>
      <w:tr>
        <w:trPr>
          <w:trHeight w:val="414"/>
        </w:trPr>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Merger Events:</w:t>
            </w: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w:t>
            </w:r>
          </w:p>
        </w:tc>
      </w:tr>
      <w:tr>
        <w:trPr>
          <w:trHeight w:val="220"/>
        </w:trPr>
        <w:tc>
          <w:tcPr>
            <w:tcW w:w="314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Event” means the occurrence of any event or condition set forth in the definition of “Merger</w:t>
            </w:r>
          </w:p>
        </w:tc>
      </w:tr>
      <w:tr>
        <w:trPr>
          <w:trHeight w:val="394"/>
        </w:trPr>
        <w:tc>
          <w:tcPr>
            <w:tcW w:w="3140" w:type="dxa"/>
            <w:vAlign w:val="bottom"/>
          </w:tcPr>
          <w:p>
            <w:pPr>
              <w:spacing w:after="0"/>
              <w:rPr>
                <w:sz w:val="24"/>
                <w:szCs w:val="24"/>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Event” in Section [14.07(a)]</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of the Indenture.</w:t>
            </w:r>
          </w:p>
        </w:tc>
      </w:tr>
      <w:tr>
        <w:trPr>
          <w:trHeight w:val="294"/>
        </w:trPr>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Tender Offers:</w:t>
            </w: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w:t>
            </w:r>
          </w:p>
        </w:tc>
      </w:tr>
      <w:tr>
        <w:trPr>
          <w:trHeight w:val="253"/>
        </w:trPr>
        <w:tc>
          <w:tcPr>
            <w:tcW w:w="3140" w:type="dxa"/>
            <w:vAlign w:val="bottom"/>
          </w:tcPr>
          <w:p>
            <w:pPr>
              <w:spacing w:after="0"/>
              <w:rPr>
                <w:sz w:val="21"/>
                <w:szCs w:val="21"/>
                <w:color w:val="auto"/>
              </w:rPr>
            </w:pPr>
          </w:p>
        </w:tc>
        <w:tc>
          <w:tcPr>
            <w:tcW w:w="7440" w:type="dxa"/>
            <w:vAlign w:val="bottom"/>
          </w:tcPr>
          <w:p>
            <w:pPr>
              <w:ind w:left="420"/>
              <w:spacing w:after="0" w:line="252" w:lineRule="exact"/>
              <w:rPr>
                <w:sz w:val="20"/>
                <w:szCs w:val="20"/>
                <w:color w:val="auto"/>
              </w:rPr>
            </w:pPr>
            <w:r>
              <w:rPr>
                <w:rFonts w:ascii="Times New Roman" w:cs="Times New Roman" w:eastAsia="Times New Roman" w:hAnsi="Times New Roman"/>
                <w:sz w:val="18"/>
                <w:szCs w:val="18"/>
                <w:color w:val="auto"/>
              </w:rPr>
              <w:t>Offer” means the occurrence of any event or condition set forth in Section [14.04(e)]</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of the</w:t>
            </w:r>
          </w:p>
        </w:tc>
      </w:tr>
      <w:tr>
        <w:trPr>
          <w:trHeight w:val="234"/>
        </w:trPr>
        <w:tc>
          <w:tcPr>
            <w:tcW w:w="3140" w:type="dxa"/>
            <w:vAlign w:val="bottom"/>
          </w:tcPr>
          <w:p>
            <w:pPr>
              <w:spacing w:after="0"/>
              <w:rPr>
                <w:sz w:val="20"/>
                <w:szCs w:val="20"/>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Indenture.</w:t>
            </w:r>
          </w:p>
        </w:tc>
      </w:tr>
      <w:tr>
        <w:trPr>
          <w:trHeight w:val="414"/>
        </w:trPr>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7440" w:type="dxa"/>
            <w:vAlign w:val="bottom"/>
          </w:tcPr>
          <w:p>
            <w:pPr>
              <w:spacing w:after="0"/>
              <w:rPr>
                <w:sz w:val="24"/>
                <w:szCs w:val="24"/>
                <w:color w:val="auto"/>
              </w:rPr>
            </w:pPr>
          </w:p>
        </w:tc>
      </w:tr>
      <w:tr>
        <w:trPr>
          <w:trHeight w:val="216"/>
        </w:trPr>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Tender Offers:</w:t>
            </w: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Notwithstanding Section 12.2 and Section 12.3 of the Equity Definitions, upon the occurrence of</w:t>
            </w:r>
          </w:p>
        </w:tc>
      </w:tr>
      <w:tr>
        <w:trPr>
          <w:trHeight w:val="216"/>
        </w:trPr>
        <w:tc>
          <w:tcPr>
            <w:tcW w:w="314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Merger Event or a Tender Offer, the Calculation Agent shall make a corresponding adjustment</w:t>
            </w:r>
          </w:p>
        </w:tc>
      </w:tr>
      <w:tr>
        <w:trPr>
          <w:trHeight w:val="216"/>
        </w:trPr>
        <w:tc>
          <w:tcPr>
            <w:tcW w:w="314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respect of any adjustment under the Indenture to any one or more of the nature of the Shares</w:t>
            </w:r>
          </w:p>
        </w:tc>
      </w:tr>
      <w:tr>
        <w:trPr>
          <w:trHeight w:val="216"/>
        </w:trPr>
        <w:tc>
          <w:tcPr>
            <w:tcW w:w="314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 the case of a Merger Event, including, without limitation, to the extent any depositary receipts</w:t>
            </w:r>
          </w:p>
        </w:tc>
      </w:tr>
      <w:tr>
        <w:trPr>
          <w:trHeight w:val="216"/>
        </w:trPr>
        <w:tc>
          <w:tcPr>
            <w:tcW w:w="314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constitute “Reference Property” under, and as defined in, the Indenture), Strike Price, Number of</w:t>
            </w:r>
          </w:p>
        </w:tc>
      </w:tr>
      <w:tr>
        <w:trPr>
          <w:trHeight w:val="234"/>
        </w:trPr>
        <w:tc>
          <w:tcPr>
            <w:tcW w:w="3140" w:type="dxa"/>
            <w:vAlign w:val="bottom"/>
          </w:tcPr>
          <w:p>
            <w:pPr>
              <w:spacing w:after="0"/>
              <w:rPr>
                <w:sz w:val="20"/>
                <w:szCs w:val="20"/>
                <w:color w:val="auto"/>
              </w:rPr>
            </w:pPr>
          </w:p>
        </w:tc>
        <w:tc>
          <w:tcPr>
            <w:tcW w:w="7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Options, Option Entitlement and any other variable relevant to the exercise, settlement or</w:t>
            </w:r>
          </w:p>
        </w:tc>
      </w:tr>
    </w:tbl>
    <w:p>
      <w:pPr>
        <w:ind w:left="4220"/>
        <w:spacing w:after="0" w:line="250" w:lineRule="auto"/>
        <w:rPr>
          <w:sz w:val="20"/>
          <w:szCs w:val="20"/>
          <w:color w:val="auto"/>
        </w:rPr>
      </w:pPr>
      <w:r>
        <w:rPr>
          <w:rFonts w:ascii="Times New Roman" w:cs="Times New Roman" w:eastAsia="Times New Roman" w:hAnsi="Times New Roman"/>
          <w:sz w:val="18"/>
          <w:szCs w:val="18"/>
          <w:color w:val="auto"/>
        </w:rPr>
        <w:t xml:space="preserve">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adjustment shall be made without regard to any adjustment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Rate” (as defined in the Indenture) pursuant to any Excluded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with respect to any Merger Event or any Tender Offer, (i) (A) the consideration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Shares includes (or, at the option of a holder of Shares, may include) shares (or depositary receipts with respect to shares) of an entity or person that is either (1) neither a corporation nor an entity that is treated as a corporation for U.S. federal income tax purposes or treated as a corporation for Canadian tax purposes or (2) not organized under the laws of the United States, any State thereof, the District of Columbia, the federal laws of Canada or any province thereof, or (B) Counterparty to the Transaction following such Merger Event or Tender Offer will not be either a corporation or an entity that is treated as a corporation for U.S. federal income tax purposes or will not be organized under the laws of the United States, any State thereof or the District of Columbia or the laws of Canada, any province or territory thereof and (ii) (A) Dealer determines in a commercially reasonable manner at any time following the occurrence of such Merger Event or Tender Offer that (x) such Merger Event or Tender Offer has had or will have a material adverse effect on Dealer under the Transaction or (y) Dealer will incur or has incurred an increased (as compared with circumstances existing on the Trade Date) amount of tax, duty, expense or fee to (1) acquire, establish, re-establish, substitute, maintain, unwind or dispose of any transaction(s) or asset(s) it deems necessary or appropriate to hedge the economic risk of entering into and performing its obligations with respect to the Transaction in a commercially reasonable manner or (2) realize, recover or remit the proceeds of any such transaction(s) or asset(s) or (B) Dealer determines, in its good faith and reasonable judgment, that it will not be in compliance with applicable legal, regulatory or self-regulatory requirements, or with related policies and procedures, applicable to Dealer, then, in either case, Cancellation and Payment (Calculation Agent Determination) may apply at Dealer’s commercially reasonable election;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for the avoidance of doubt, adjustments shall be made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set forth above regardless of whether any Merger Event or Tender Offer gives rise to an Early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830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containing anti-dilution adjustments to the Conversion Rate.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 providing for adjustments where a Conversion Rate adjustment occurs during a period over which Last Reported Sale Prices, Daily VWAPs, Daily Conversion Values or Daily Settlement Amounts are calculated.</w:t>
      </w:r>
    </w:p>
    <w:p>
      <w:pPr>
        <w:ind w:left="340" w:hanging="332"/>
        <w:spacing w:after="0" w:line="180" w:lineRule="auto"/>
        <w:tabs>
          <w:tab w:leader="none" w:pos="34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describing consequences of Reference Property.</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1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describing consequences of tender offers.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4"/>
        </w:trPr>
        <w:tc>
          <w:tcPr>
            <w:tcW w:w="40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Consequences of Announcement Events:</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Calculation Agent Adjustment as set forth in Section 12.3(d) of the Equity Definitions;</w:t>
            </w:r>
          </w:p>
        </w:tc>
      </w:tr>
      <w:tr>
        <w:trPr>
          <w:trHeight w:val="218"/>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(x) references to “Tender Offer” shall be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replaced by references to “Announcement Event” and references to “Tender Offer Date” shall be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replaced by references to “date of such Announcement Event”, (y) the phrase “exercise,</w:t>
            </w:r>
          </w:p>
        </w:tc>
      </w:tr>
      <w:tr>
        <w:trPr>
          <w:trHeight w:val="214"/>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payment or any other terms of the Transaction (including, without limitation, the</w:t>
            </w:r>
          </w:p>
        </w:tc>
      </w:tr>
      <w:tr>
        <w:trPr>
          <w:trHeight w:val="218"/>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spread)” shall be 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Price be less than the Strike Price)” and the words “whether within a commercially reasonable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determined by the Calculation Agent) period of time prior to or after the Announcement</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 shall be inserted prior to the word “which” in the seventh line, and (z) for the avoidance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doubt, the Calculation Agent shall determine whether the relevant Announcement Event has</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had an economic effect on the Transaction (and, if so, shall, acting in good faith and in a</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commercially reasonable manner, adjust the Cap Price accordingly) on one or more occasions on</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after the date of the Announcement Event up to, and including, the Expiration Date, any Early</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Date and/or any other date of cancellation (and for the avoidance of doubt shall</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make such adjustment to take into account the cumulative effect on the Expiration Date, any</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Date and/or any other date of cancellation), it being understood that any</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in respect of an Announcement Event shall take into account any earlier adjustment</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relating to the same Announcement Event. An Announcement Event shall be an “Extraordinary</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 for purposes of the Equity Definitions, to which Article 12 of the Equity Definitions is</w:t>
            </w:r>
          </w:p>
        </w:tc>
      </w:tr>
      <w:tr>
        <w:trPr>
          <w:trHeight w:val="234"/>
        </w:trPr>
        <w:tc>
          <w:tcPr>
            <w:tcW w:w="4080" w:type="dxa"/>
            <w:vAlign w:val="bottom"/>
          </w:tcPr>
          <w:p>
            <w:pPr>
              <w:spacing w:after="0"/>
              <w:rPr>
                <w:sz w:val="20"/>
                <w:szCs w:val="20"/>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40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Announcement Event:</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The public announcement by Issuer, any subsidiary of Issuer, any agent of Issuer, any Valid</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Party Entity or any agent of a Valid Third Party Entity of (x) any transaction or event that,</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completed, would constitute a Merger Event or Tender Offer, (y) any potential acquisition by</w:t>
            </w:r>
          </w:p>
        </w:tc>
      </w:tr>
      <w:tr>
        <w:trPr>
          <w:trHeight w:val="212"/>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Issuer and/or its subsidiaries where the aggregate consideration exceeds 35% of the market</w:t>
            </w:r>
          </w:p>
        </w:tc>
      </w:tr>
      <w:tr>
        <w:trPr>
          <w:trHeight w:val="220"/>
        </w:trPr>
        <w:tc>
          <w:tcPr>
            <w:tcW w:w="408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 of Issuer as of the date of such announcement (a “</w:t>
            </w:r>
            <w:r>
              <w:rPr>
                <w:rFonts w:ascii="Times New Roman" w:cs="Times New Roman" w:eastAsia="Times New Roman" w:hAnsi="Times New Roman"/>
                <w:sz w:val="18"/>
                <w:szCs w:val="18"/>
                <w:b w:val="1"/>
                <w:bCs w:val="1"/>
                <w:color w:val="auto"/>
              </w:rPr>
              <w:t>Transformative Transaction</w:t>
            </w: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or (z) the intention to enter into a Merger Event or Tender Offer or a Transformative Transaction,</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 the public announcement by Issuer of an intention to solicit or enter into, or to explore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alternatives or other similar undertaking that, if completed, would constitute a Merger</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 Tender Offer or Transformative Transaction or (iii) any subsequent public announcement</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any entity referenced in clause (i) above of a change to a transaction or intention that is the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subject of an announcement of the type described in clause (i) or (ii) of this sentence (including,</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limitation, a new announcement, whether or not by the same party, relating to such a</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or intention or the announcement of a withdrawal from, or the abandonment or</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discontinuation of, such a transaction or intention), as determined by the Calculation Agent in a</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commercially reasonable manner. For the avoidance of doubt, the occurrence of an</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Announcement Event with respect to any transaction or intention shall not preclude the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occurrence of a later Announcement Event with respect to such transaction or intention. For</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purposes of this definition of “Announcement Event,” (A) “Merger Event” shall mean such term</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defined under Section 12.1(b) of the Equity Definitions (but, for the avoidance of doubt, the</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remainder of the definition of “Merger Event” in Section 12.1(b) of the Equity Definitions</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following the definition of “Reverse Merger” therein shall be disregarded) and (B) “Tender</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 shall mean such term as defined under Section 12.1(d) of the Equity Definitions (as</w:t>
            </w:r>
          </w:p>
        </w:tc>
      </w:tr>
      <w:tr>
        <w:trPr>
          <w:trHeight w:val="234"/>
        </w:trPr>
        <w:tc>
          <w:tcPr>
            <w:tcW w:w="4080" w:type="dxa"/>
            <w:vAlign w:val="bottom"/>
          </w:tcPr>
          <w:p>
            <w:pPr>
              <w:spacing w:after="0"/>
              <w:rPr>
                <w:sz w:val="20"/>
                <w:szCs w:val="20"/>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amended by Section 9(i)(ii) below).</w:t>
            </w:r>
          </w:p>
        </w:tc>
      </w:tr>
      <w:tr>
        <w:trPr>
          <w:trHeight w:val="414"/>
        </w:trPr>
        <w:tc>
          <w:tcPr>
            <w:tcW w:w="40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Valid Third Party Entity:</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 enter into or</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consummate such transaction, as determined by the Calculation Agent (it being understood and</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agreed that in determining whether such third party has such a bona fide intent, the Calculation</w:t>
            </w:r>
          </w:p>
        </w:tc>
      </w:tr>
      <w:tr>
        <w:trPr>
          <w:trHeight w:val="216"/>
        </w:trPr>
        <w:tc>
          <w:tcPr>
            <w:tcW w:w="408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shall take into consideration the effect of the relevant announcement by such third party</w:t>
            </w:r>
          </w:p>
        </w:tc>
      </w:tr>
      <w:tr>
        <w:trPr>
          <w:trHeight w:val="234"/>
        </w:trPr>
        <w:tc>
          <w:tcPr>
            <w:tcW w:w="4080" w:type="dxa"/>
            <w:vAlign w:val="bottom"/>
          </w:tcPr>
          <w:p>
            <w:pPr>
              <w:spacing w:after="0"/>
              <w:rPr>
                <w:sz w:val="20"/>
                <w:szCs w:val="20"/>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the Shares and/or options relating to the Shares).</w:t>
            </w:r>
          </w:p>
        </w:tc>
      </w:tr>
      <w:tr>
        <w:trPr>
          <w:trHeight w:val="655"/>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1120"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provisions of Section 12.6(a)(iii) of the Equity Definitions, it will also constitute a Delisting if</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Exchange is located in the United States and the Shares are not immediately re-listed, re-</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traded or re-quoted on any of the New York Stock Exchange, the NYSE American, The Nasdaq</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Global Select Market, The Nasdaq Global Market or the Nasdaq Capital Market (or their</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respective successors); if the Shares are immediately re-listed, re-traded or re-quoted on any of</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New York Stock Exchange, the NYSE American, The Nasdaq Global Select Market, The</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Nasdaq Global Market or the Nasdaq Capital Market (or their respective successors), such</w:t>
            </w:r>
          </w:p>
        </w:tc>
      </w:tr>
      <w:tr>
        <w:trPr>
          <w:trHeight w:val="234"/>
        </w:trPr>
        <w:tc>
          <w:tcPr>
            <w:tcW w:w="3400" w:type="dxa"/>
            <w:vAlign w:val="bottom"/>
          </w:tcPr>
          <w:p>
            <w:pPr>
              <w:spacing w:after="0"/>
              <w:rPr>
                <w:sz w:val="20"/>
                <w:szCs w:val="20"/>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exchange or quotation system shall thereafter be deemed to be the Exchange.</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Disruption Events:</w:t>
            </w:r>
          </w:p>
        </w:tc>
        <w:tc>
          <w:tcPr>
            <w:tcW w:w="60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414"/>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Law:</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replacing the phrase “the interpretation” in the third line thereof with the phrase “, or public</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announcement of, the formal or informal interpretation”, (ii) replacing the word “Shares” where</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 appears in clause (X) thereof with the words “Hedge Position” and (iii) replacing the</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parenthetical beginning after the word “regulation” in the second line thereof the words</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“(including, for the avoidance of doubt and without limitation, (x) any tax law, (y) adoption,</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effectiveness or promulgation of new regulations authorized or mandated by existing statute, or</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(z) in the case of the laws of Canada or any political subdivision thereof, the public</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announcement or issuance by a relevant governmental authority of draft legislation, a notice of</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ways and means motion or a similar document)”. Notwithstanding anything to the contrary in the</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Definitions, a Change in Law described in clause (Y) of Section 12.9(a)(ii) of the Equity</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Definitions shall not constitute a Change in Law and instead shall constitute an Increased Cost of</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Hedging as described in Section 12.9(a)(vi) of the Equity Definitions, and any such</w:t>
            </w:r>
          </w:p>
        </w:tc>
      </w:tr>
      <w:tr>
        <w:trPr>
          <w:trHeight w:val="216"/>
        </w:trPr>
        <w:tc>
          <w:tcPr>
            <w:tcW w:w="3400" w:type="dxa"/>
            <w:vAlign w:val="bottom"/>
          </w:tcPr>
          <w:p>
            <w:pPr>
              <w:spacing w:after="0"/>
              <w:rPr>
                <w:sz w:val="18"/>
                <w:szCs w:val="18"/>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determination of a Change in Law shall be consistently applied by the Determining Party across</w:t>
            </w:r>
          </w:p>
        </w:tc>
      </w:tr>
      <w:tr>
        <w:trPr>
          <w:trHeight w:val="234"/>
        </w:trPr>
        <w:tc>
          <w:tcPr>
            <w:tcW w:w="3400" w:type="dxa"/>
            <w:vAlign w:val="bottom"/>
          </w:tcPr>
          <w:p>
            <w:pPr>
              <w:spacing w:after="0"/>
              <w:rPr>
                <w:sz w:val="20"/>
                <w:szCs w:val="20"/>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transactions similar to the Transaction and for counterparties similar to Counterparty.</w:t>
            </w:r>
          </w:p>
        </w:tc>
      </w:tr>
      <w:tr>
        <w:trPr>
          <w:trHeight w:val="432"/>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Hedging Disruption:</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414"/>
        </w:trPr>
        <w:tc>
          <w:tcPr>
            <w:tcW w:w="34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12.9(a)(v) of the Equity Definitions is hereby amended by inserting the</w:t>
            </w:r>
          </w:p>
        </w:tc>
      </w:tr>
      <w:tr>
        <w:trPr>
          <w:trHeight w:val="234"/>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following two phrases at the end of such Section:</w:t>
            </w:r>
          </w:p>
        </w:tc>
      </w:tr>
      <w:tr>
        <w:trPr>
          <w:trHeight w:val="414"/>
        </w:trPr>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“For the avoidance of doubt, the term “equity price risk” shall be deemed to include, but</w:t>
            </w:r>
          </w:p>
        </w:tc>
      </w:tr>
      <w:tr>
        <w:trPr>
          <w:trHeight w:val="216"/>
        </w:trPr>
        <w:tc>
          <w:tcPr>
            <w:tcW w:w="3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not be limited to, stock price and volatility risk. And, for the further avoidance of</w:t>
            </w:r>
          </w:p>
        </w:tc>
      </w:tr>
      <w:tr>
        <w:trPr>
          <w:trHeight w:val="216"/>
        </w:trPr>
        <w:tc>
          <w:tcPr>
            <w:tcW w:w="3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 any such transactions or assets referred to in phrases (A) or (B) above must be</w:t>
            </w:r>
          </w:p>
        </w:tc>
      </w:tr>
      <w:tr>
        <w:trPr>
          <w:trHeight w:val="234"/>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on commercially reasonable pricing terms.”; and</w:t>
            </w:r>
          </w:p>
        </w:tc>
      </w:tr>
      <w:tr>
        <w:trPr>
          <w:trHeight w:val="414"/>
        </w:trPr>
        <w:tc>
          <w:tcPr>
            <w:tcW w:w="34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Section 12.9(b)(iii) of the Equity Definitions is hereby amended by inserting in the third</w:t>
            </w:r>
          </w:p>
        </w:tc>
      </w:tr>
      <w:tr>
        <w:trPr>
          <w:trHeight w:val="216"/>
        </w:trPr>
        <w:tc>
          <w:tcPr>
            <w:tcW w:w="3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line thereof, after the words “to terminate the Transaction”, the words “or, if a portion of</w:t>
            </w:r>
          </w:p>
        </w:tc>
      </w:tr>
      <w:tr>
        <w:trPr>
          <w:trHeight w:val="216"/>
        </w:trPr>
        <w:tc>
          <w:tcPr>
            <w:tcW w:w="3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Transaction is affected by such Hedging Disruption (as determined by the Hedging</w:t>
            </w:r>
          </w:p>
        </w:tc>
      </w:tr>
      <w:tr>
        <w:trPr>
          <w:trHeight w:val="216"/>
        </w:trPr>
        <w:tc>
          <w:tcPr>
            <w:tcW w:w="3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Party in a commercially reasonable manner), such portion of the Transaction affected by</w:t>
            </w:r>
          </w:p>
        </w:tc>
      </w:tr>
      <w:tr>
        <w:trPr>
          <w:trHeight w:val="234"/>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Hedging Disruption”.</w:t>
            </w:r>
          </w:p>
        </w:tc>
      </w:tr>
    </w:tbl>
    <w:p>
      <w:pPr>
        <w:spacing w:after="0" w:line="198" w:lineRule="exact"/>
        <w:rPr>
          <w:sz w:val="20"/>
          <w:szCs w:val="20"/>
          <w:color w:val="auto"/>
        </w:rPr>
      </w:pPr>
    </w:p>
    <w:p>
      <w:pPr>
        <w:ind w:left="3560" w:right="10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in no event will a Hedging Disruption occur solely due to the deterioration of the creditworthiness of the Hedging Party.</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Increased Cost of Hedging:</w:t>
            </w: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(ii) of the Equity Definitions as set forth in the last sentence opposite the caption “Change in</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Law” above (which determination shall be consistently applied by the Determining Party across</w:t>
            </w:r>
          </w:p>
        </w:tc>
      </w:tr>
      <w:tr>
        <w:trPr>
          <w:trHeight w:val="234"/>
        </w:trPr>
        <w:tc>
          <w:tcPr>
            <w:tcW w:w="358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transactions similar to the Transaction and for counterparties similar to Counterparty).</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Hedging Party:</w:t>
            </w: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 all applicable Additional Disruption Events, Dealer. Following any determination by the</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Hedging Party hereunder, the Hedging Party shall promptly (but in any event within five (5)</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Exchange Business Days) provide to Counterparty by e-mail a report (in a commonly used file</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format for the storage and manipulation of financial data) displaying in reasonable detail the</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basis for such determination (including any assumptions used in making such determination), it</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being understood that the Hedging Party shall not be obligated to disclose any proprietary or</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confidential models used by it for such determination or any information that may be proprietary</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or confidential or subject to an obligation not to disclose such information. All calculations,</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adjustments and determinations by Dealer acting in its capacity as the Hedging Party shall be</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made in good faith and in a commercially reasonable manner and assuming that Dealer maintains</w:t>
            </w:r>
          </w:p>
        </w:tc>
      </w:tr>
      <w:tr>
        <w:trPr>
          <w:trHeight w:val="234"/>
        </w:trPr>
        <w:tc>
          <w:tcPr>
            <w:tcW w:w="358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commercially reasonable hedge position.</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Determining Party:</w:t>
            </w: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 xml:space="preserve">For all applicable Extraordinary Events, Dealer;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when making any determination or</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calculation as “Determining Party,” Dealer shall be bound by the same obligations relating to</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required acts of the Calculation Agent as set forth in Section 1.40 of the Equity Definitions and</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this Confirmation as if the Determining Party were the Calculation Agent. Following any</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determination or calculation by the Determining Party hereunder, the Determining Party shall</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promptly (but in any event within five (5) Exchange Business Days) provide to Counterparty by</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 a report (in a commonly used file format for the storage and manipulation of financial</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data) displaying in reasonable detail the basis for such determination or calculation (including</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any assumptions used in making such determination or calculation), it being understood that the</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Determining Party shall not be obligated to disclose any proprietary or confidential models used</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 it for such determination or calculation or any information that may be proprietary or</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confidential or subject to an obligation not to disclose such information. All calculations,</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adjustments and determinations by Dealer acting in its capacity as the Determining Party shall be</w:t>
            </w:r>
          </w:p>
        </w:tc>
      </w:tr>
      <w:tr>
        <w:trPr>
          <w:trHeight w:val="216"/>
        </w:trPr>
        <w:tc>
          <w:tcPr>
            <w:tcW w:w="358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made in good faith and in a commercially reasonable manner and assuming that Dealer maintains</w:t>
            </w:r>
          </w:p>
        </w:tc>
      </w:tr>
      <w:tr>
        <w:trPr>
          <w:trHeight w:val="234"/>
        </w:trPr>
        <w:tc>
          <w:tcPr>
            <w:tcW w:w="358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commercially reasonable hedge position.</w:t>
            </w:r>
          </w:p>
        </w:tc>
      </w:tr>
      <w:tr>
        <w:trPr>
          <w:trHeight w:val="655"/>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04"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Non-Reliance:</w:t>
            </w: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180" w:type="dxa"/>
            <w:vAlign w:val="bottom"/>
          </w:tcPr>
          <w:p>
            <w:pPr>
              <w:spacing w:after="0"/>
              <w:rPr>
                <w:sz w:val="24"/>
                <w:szCs w:val="24"/>
                <w:color w:val="auto"/>
              </w:rPr>
            </w:pPr>
          </w:p>
        </w:tc>
        <w:tc>
          <w:tcPr>
            <w:tcW w:w="3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180" w:type="dxa"/>
            <w:vAlign w:val="bottom"/>
          </w:tcPr>
          <w:p>
            <w:pPr>
              <w:spacing w:after="0"/>
              <w:rPr>
                <w:sz w:val="20"/>
                <w:szCs w:val="20"/>
                <w:color w:val="auto"/>
              </w:rPr>
            </w:pPr>
          </w:p>
        </w:tc>
        <w:tc>
          <w:tcPr>
            <w:tcW w:w="3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3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3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180" w:type="dxa"/>
            <w:vAlign w:val="bottom"/>
          </w:tcPr>
          <w:p>
            <w:pPr>
              <w:spacing w:after="0"/>
              <w:rPr>
                <w:sz w:val="24"/>
                <w:szCs w:val="24"/>
                <w:color w:val="auto"/>
              </w:rPr>
            </w:pPr>
          </w:p>
        </w:tc>
        <w:tc>
          <w:tcPr>
            <w:tcW w:w="3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Hedging Adjustments:</w:t>
            </w: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avoidance of doubt, whenever the Determining Party or Calculation Agent is called upon</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permitted to make an adjustment pursuant to the terms of this Confirmation or the Equity</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Definitions to take into account the effect of an event (other than, for the avoidance of doubt, any</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that is required to be made by reference to the Indenture), the Determining Party or</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Calculation Agent, as the case may be, shall make such adjustment by reference to the effect of</w:t>
            </w:r>
          </w:p>
        </w:tc>
      </w:tr>
      <w:tr>
        <w:trPr>
          <w:trHeight w:val="234"/>
        </w:trPr>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such event on Dealer assuming that Dealer maintains a commercially reasonable hedge position.</w:t>
            </w:r>
          </w:p>
        </w:tc>
      </w:tr>
      <w:tr>
        <w:trPr>
          <w:trHeight w:val="391"/>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Calculation Agent.</w:t>
            </w: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Dealer, whose judgments, determinations and calculations shall be made in good faith and in a</w:t>
            </w:r>
          </w:p>
        </w:tc>
      </w:tr>
      <w:tr>
        <w:trPr>
          <w:trHeight w:val="218"/>
        </w:trPr>
        <w:tc>
          <w:tcPr>
            <w:tcW w:w="1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continuance of an Event of Default of the type described in Section 5(a)(vii) of the Agreement</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respect to which Dealer is the sole Defaulting Party, if the Calculation Agent fails to timely</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make any calculation, adjustment or determination required to be made by the Calculation Agent</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hereunder and such failure continues for five (5) Exchange Business Days following notice to the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Calculation Agent by Counterparty of such failure, Counterparty shall have the right to designate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nationally recognized third-party dealer in over-the-counter corporate equity derivatives to act,</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period commencing on the date such Event of Default occurred and ending on the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 Termination Date with respect to such Event of Default, as the Calculation Agent.</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Following any determination, adjustment or calculation by the Calculation Agent hereunder, the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Calculation Agent shall promptly (but in any event within five (5) Exchange Business Days)</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 to Counterparty by e-mail a report (in a commonly used file format for the storage and</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manipulation of financial data) displaying in reasonable detail the basis for such determination,</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or calculation (including any assumptions used in making such determination or</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calculation), it being understood that the Calculation Agent shall not be obligated to disclose any</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proprietary or confidential models used by it for such determination or calculation or any</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that may be proprietary or confidential or subject to an obligation not to disclose</w:t>
            </w:r>
          </w:p>
        </w:tc>
      </w:tr>
      <w:tr>
        <w:trPr>
          <w:trHeight w:val="234"/>
        </w:trPr>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such information.</w:t>
            </w:r>
          </w:p>
        </w:tc>
      </w:tr>
      <w:tr>
        <w:trPr>
          <w:trHeight w:val="414"/>
        </w:trPr>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Dealer, whether as Calculation Agent, Hedging Party, Determining Party or otherwise, shall use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commercially reasonable efforts to notify Counterparty of any event giving rise to any</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required or, to the extent it makes any such adjustment, permitted to be made to the</w:t>
            </w: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of the Transaction, the terms being adjusted and, for each term so adjusted, such term, in</w:t>
            </w:r>
          </w:p>
        </w:tc>
      </w:tr>
      <w:tr>
        <w:trPr>
          <w:trHeight w:val="234"/>
        </w:trPr>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case, as promptly as reasonably practicable after giving effect to such adjustment.</w:t>
            </w:r>
          </w:p>
        </w:tc>
      </w:tr>
      <w:tr>
        <w:trPr>
          <w:trHeight w:val="655"/>
        </w:trPr>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904" w:right="339" w:bottom="1440" w:gutter="0" w:footer="0" w:header="0"/>
        </w:sectPr>
      </w:pPr>
    </w:p>
    <w:bookmarkStart w:id="139" w:name="page140"/>
    <w:bookmarkEnd w:id="139"/>
    <w:p>
      <w:pPr>
        <w:ind w:left="172" w:hanging="172"/>
        <w:spacing w:after="0"/>
        <w:tabs>
          <w:tab w:leader="none" w:pos="17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right="7080" w:hanging="644"/>
        <w:spacing w:after="0" w:line="500" w:lineRule="auto"/>
        <w:tabs>
          <w:tab w:leader="none" w:pos="12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1" w:lineRule="exact"/>
        <w:rPr>
          <w:rFonts w:ascii="Times New Roman" w:cs="Times New Roman" w:eastAsia="Times New Roman" w:hAnsi="Times New Roman"/>
          <w:sz w:val="18"/>
          <w:szCs w:val="18"/>
          <w:color w:val="auto"/>
        </w:rPr>
      </w:pPr>
    </w:p>
    <w:p>
      <w:pPr>
        <w:ind w:left="1292" w:right="7560" w:hanging="644"/>
        <w:spacing w:after="0" w:line="498" w:lineRule="auto"/>
        <w:tabs>
          <w:tab w:leader="none" w:pos="12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 [_____]</w:t>
      </w:r>
    </w:p>
    <w:p>
      <w:pPr>
        <w:spacing w:after="0" w:line="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[_____][Inapplicable; Dealer is not a Multibranch Party]</w:t>
      </w:r>
    </w:p>
    <w:p>
      <w:pPr>
        <w:spacing w:after="0" w:line="22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225"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27" w:lineRule="exact"/>
        <w:rPr>
          <w:rFonts w:ascii="Times New Roman" w:cs="Times New Roman" w:eastAsia="Times New Roman" w:hAnsi="Times New Roman"/>
          <w:sz w:val="18"/>
          <w:szCs w:val="18"/>
          <w:color w:val="auto"/>
        </w:rPr>
      </w:pPr>
    </w:p>
    <w:p>
      <w:pPr>
        <w:ind w:left="1292" w:right="78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Yonge Street, Suite 1601 Toronto, Ontario M5C 1T4 Attention: [_____]]</w:t>
      </w:r>
      <w:r>
        <w:rPr>
          <w:rFonts w:ascii="Times New Roman" w:cs="Times New Roman" w:eastAsia="Times New Roman" w:hAnsi="Times New Roman"/>
          <w:sz w:val="29"/>
          <w:szCs w:val="29"/>
          <w:color w:val="auto"/>
          <w:vertAlign w:val="superscript"/>
        </w:rPr>
        <w:t>25</w:t>
      </w:r>
    </w:p>
    <w:p>
      <w:pPr>
        <w:spacing w:after="0" w:line="51" w:lineRule="exact"/>
        <w:rPr>
          <w:rFonts w:ascii="Times New Roman" w:cs="Times New Roman" w:eastAsia="Times New Roman" w:hAnsi="Times New Roman"/>
          <w:sz w:val="18"/>
          <w:szCs w:val="18"/>
          <w:color w:val="auto"/>
        </w:rPr>
      </w:pPr>
    </w:p>
    <w:p>
      <w:pPr>
        <w:ind w:left="1292" w:right="6320" w:hanging="644"/>
        <w:spacing w:after="0" w:line="498" w:lineRule="auto"/>
        <w:tabs>
          <w:tab w:leader="none" w:pos="12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[______]</w:t>
      </w:r>
    </w:p>
    <w:p>
      <w:pPr>
        <w:spacing w:after="0" w:line="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32"/>
        <w:spacing w:after="0"/>
        <w:rPr>
          <w:sz w:val="20"/>
          <w:szCs w:val="20"/>
          <w:color w:val="auto"/>
        </w:rPr>
      </w:pPr>
      <w:r>
        <w:rPr>
          <w:rFonts w:ascii="Times New Roman" w:cs="Times New Roman" w:eastAsia="Times New Roman" w:hAnsi="Times New Roman"/>
          <w:sz w:val="18"/>
          <w:szCs w:val="18"/>
          <w:color w:val="auto"/>
        </w:rPr>
        <w:t>Counterparty hereby represents and warrants to Dealer on the date hereof and as of the Premium Payment Date that:</w:t>
      </w:r>
    </w:p>
    <w:p>
      <w:pPr>
        <w:spacing w:after="0" w:line="225" w:lineRule="exact"/>
        <w:rPr>
          <w:sz w:val="20"/>
          <w:szCs w:val="20"/>
          <w:color w:val="auto"/>
        </w:rPr>
      </w:pPr>
    </w:p>
    <w:p>
      <w:pPr>
        <w:ind w:left="1292" w:hanging="644"/>
        <w:spacing w:after="0" w:line="254" w:lineRule="auto"/>
        <w:tabs>
          <w:tab w:leader="none" w:pos="12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provincial or state securities laws or public policy relating thereto.</w:t>
      </w:r>
    </w:p>
    <w:p>
      <w:pPr>
        <w:spacing w:after="0" w:line="191" w:lineRule="exact"/>
        <w:rPr>
          <w:rFonts w:ascii="Times New Roman" w:cs="Times New Roman" w:eastAsia="Times New Roman" w:hAnsi="Times New Roman"/>
          <w:sz w:val="18"/>
          <w:szCs w:val="18"/>
          <w:color w:val="auto"/>
        </w:rPr>
      </w:pPr>
    </w:p>
    <w:p>
      <w:pPr>
        <w:ind w:left="1292" w:right="100" w:hanging="644"/>
        <w:spacing w:after="0" w:line="255" w:lineRule="auto"/>
        <w:tabs>
          <w:tab w:leader="none" w:pos="12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articles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40-F for the year ended December 31, 2024,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7830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8" w:lineRule="exact"/>
        <w:rPr>
          <w:sz w:val="20"/>
          <w:szCs w:val="20"/>
          <w:color w:val="auto"/>
        </w:rPr>
      </w:pPr>
    </w:p>
    <w:p>
      <w:pPr>
        <w:ind w:left="332" w:hanging="332"/>
        <w:spacing w:after="0"/>
        <w:tabs>
          <w:tab w:leader="none" w:pos="332" w:val="left"/>
        </w:tabs>
        <w:numPr>
          <w:ilvl w:val="0"/>
          <w:numId w:val="1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Company to confirm/update.</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140" w:name="page141"/>
    <w:bookmarkEnd w:id="140"/>
    <w:p>
      <w:pPr>
        <w:jc w:val="both"/>
        <w:ind w:left="644" w:right="160" w:hanging="644"/>
        <w:spacing w:after="0" w:line="266"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provincial or state securities laws.</w:t>
      </w:r>
    </w:p>
    <w:p>
      <w:pPr>
        <w:spacing w:after="0" w:line="175" w:lineRule="exact"/>
        <w:rPr>
          <w:rFonts w:ascii="Times New Roman" w:cs="Times New Roman" w:eastAsia="Times New Roman" w:hAnsi="Times New Roman"/>
          <w:sz w:val="18"/>
          <w:szCs w:val="18"/>
          <w:color w:val="auto"/>
        </w:rPr>
      </w:pPr>
    </w:p>
    <w:p>
      <w:pPr>
        <w:ind w:left="644" w:right="200" w:hanging="644"/>
        <w:spacing w:after="0" w:line="282"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644" w:right="700" w:hanging="644"/>
        <w:spacing w:after="0" w:line="282"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in possession of any material non-public information with respect to Counterparty or the Shares.</w:t>
      </w:r>
    </w:p>
    <w:p>
      <w:pPr>
        <w:spacing w:after="0" w:line="225"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Counterparty’s actual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79" w:lineRule="exact"/>
        <w:rPr>
          <w:rFonts w:ascii="Times New Roman" w:cs="Times New Roman" w:eastAsia="Times New Roman" w:hAnsi="Times New Roman"/>
          <w:sz w:val="18"/>
          <w:szCs w:val="18"/>
          <w:color w:val="auto"/>
        </w:rPr>
      </w:pPr>
    </w:p>
    <w:p>
      <w:pPr>
        <w:ind w:left="644" w:hanging="644"/>
        <w:spacing w:after="0" w:line="258"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consulted with its own legal, regulatory, tax, business, investments, financial and accounting advisors with respect to the Transaction to the extent that it has deemed necessary; and (D) has total assets of at least USD 50 million.</w:t>
      </w:r>
    </w:p>
    <w:p>
      <w:pPr>
        <w:spacing w:after="0" w:line="183"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161" w:lineRule="exact"/>
        <w:rPr>
          <w:rFonts w:ascii="Times New Roman" w:cs="Times New Roman" w:eastAsia="Times New Roman" w:hAnsi="Times New Roman"/>
          <w:sz w:val="18"/>
          <w:szCs w:val="18"/>
          <w:color w:val="auto"/>
        </w:rPr>
      </w:pPr>
    </w:p>
    <w:p>
      <w:pPr>
        <w:ind w:left="644" w:hanging="644"/>
        <w:spacing w:after="0" w:line="268" w:lineRule="auto"/>
        <w:tabs>
          <w:tab w:leader="none" w:pos="644"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and immediately after the Trade Date and the Premium Payment Date, (A) there are no reasonable grounds for believing that (a) the Counterparty is, or would after the payment of the Premium be, unable to pay its liabilities as they become due; or (b) the realizable value of the Counterparty’s assets would after the payment of the Premium be less than the aggregate of its liabilities and stated capital of all classes of shares and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an “insolvent person” (as such term is defined under Section 2 of the </w:t>
      </w:r>
      <w:r>
        <w:rPr>
          <w:rFonts w:ascii="Times New Roman" w:cs="Times New Roman" w:eastAsia="Times New Roman" w:hAnsi="Times New Roman"/>
          <w:sz w:val="17"/>
          <w:szCs w:val="17"/>
          <w:i w:val="1"/>
          <w:iCs w:val="1"/>
          <w:color w:val="auto"/>
        </w:rPr>
        <w:t>Bankruptcy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Insolvency Act </w:t>
      </w:r>
      <w:r>
        <w:rPr>
          <w:rFonts w:ascii="Times New Roman" w:cs="Times New Roman" w:eastAsia="Times New Roman" w:hAnsi="Times New Roman"/>
          <w:sz w:val="17"/>
          <w:szCs w:val="17"/>
          <w:color w:val="auto"/>
        </w:rPr>
        <w:t>(Canada), R.S.C., 1985, c. B-3 or is insolvent within the meaning of Canadian Insolvency Law (as defined below) and</w:t>
      </w:r>
    </w:p>
    <w:p>
      <w:pPr>
        <w:ind w:left="644"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 Counterparty would be able to purchase the number of Shares with respect to the Transaction in compliance with the laws of the jurisdiction of Counterparty’s incorporation.</w:t>
      </w:r>
    </w:p>
    <w:p>
      <w:pPr>
        <w:spacing w:after="0" w:line="179"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4" w:right="20" w:hanging="644"/>
        <w:spacing w:after="0" w:line="272" w:lineRule="auto"/>
        <w:tabs>
          <w:tab w:leader="none" w:pos="644"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Counterparty is a “local counterparty” (as such term is defined under applicable Canadian securities laws, including Ontario Securities Commission Rule 91-507 – Trade Repositories and Derivatives Data Reporting) for the purposes of the transactions contemplated hereby and is an “eligible derivatives party” as defined under National Instrument 93-101 </w:t>
      </w:r>
      <w:r>
        <w:rPr>
          <w:rFonts w:ascii="Times New Roman" w:cs="Times New Roman" w:eastAsia="Times New Roman" w:hAnsi="Times New Roman"/>
          <w:sz w:val="17"/>
          <w:szCs w:val="17"/>
          <w:i w:val="1"/>
          <w:iCs w:val="1"/>
          <w:color w:val="auto"/>
        </w:rPr>
        <w:t>Derivatives: Business Conduct</w:t>
      </w:r>
      <w:r>
        <w:rPr>
          <w:rFonts w:ascii="Times New Roman" w:cs="Times New Roman" w:eastAsia="Times New Roman" w:hAnsi="Times New Roman"/>
          <w:sz w:val="17"/>
          <w:szCs w:val="17"/>
          <w:color w:val="auto"/>
        </w:rPr>
        <w:t xml:space="preserve"> pursuant to paragraph</w:t>
      </w:r>
    </w:p>
    <w:p>
      <w:pPr>
        <w:spacing w:after="0" w:line="1" w:lineRule="exact"/>
        <w:rPr>
          <w:rFonts w:ascii="Times New Roman" w:cs="Times New Roman" w:eastAsia="Times New Roman" w:hAnsi="Times New Roman"/>
          <w:sz w:val="17"/>
          <w:szCs w:val="17"/>
          <w:color w:val="auto"/>
        </w:rPr>
      </w:pPr>
    </w:p>
    <w:p>
      <w:pPr>
        <w:ind w:left="644"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 of that definition being a person or company, other than an individual, that has net assets of at least CAD 25,000,000 as shown on its most recently prepared financial statements.</w:t>
      </w:r>
    </w:p>
    <w:p>
      <w:pPr>
        <w:spacing w:after="0" w:line="181" w:lineRule="exact"/>
        <w:rPr>
          <w:rFonts w:ascii="Times New Roman" w:cs="Times New Roman" w:eastAsia="Times New Roman" w:hAnsi="Times New Roman"/>
          <w:sz w:val="17"/>
          <w:szCs w:val="17"/>
          <w:color w:val="auto"/>
        </w:rPr>
      </w:pPr>
    </w:p>
    <w:p>
      <w:pPr>
        <w:ind w:left="644" w:right="240" w:hanging="644"/>
        <w:spacing w:after="0" w:line="258"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including the exercise or deemed exercise of any Option hereunder (whether at maturity, upon early termination or cancellation or otherwise), shall not constitute an “issuer bid” as such term is defined in National Instrument 62-104—Take-Over Bids and Issuer Bids, and provided that the Dealer is acting as principal in undertaking commercially reasonable hedging activities with respect to the Shares for its own account as contemplated by this Confirmation, such hedging activities will not constitute indirect participation in an “issuer bid”.</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41" w:name="page142"/>
    <w:bookmarkEnd w:id="141"/>
    <w:p>
      <w:pPr>
        <w:ind w:left="172" w:hanging="172"/>
        <w:spacing w:after="0"/>
        <w:tabs>
          <w:tab w:leader="none" w:pos="17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b w:val="1"/>
          <w:bCs w:val="1"/>
          <w:color w:val="auto"/>
        </w:rPr>
      </w:pPr>
    </w:p>
    <w:p>
      <w:pPr>
        <w:ind w:left="1292" w:right="20" w:hanging="644"/>
        <w:spacing w:after="0" w:line="261" w:lineRule="auto"/>
        <w:tabs>
          <w:tab w:leader="none" w:pos="129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Premium Payment Date, with respect to the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matters set forth in Sections 8(a) through (d) of this Confirmation and Section 3(a)(i) of the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Delivery of such opinion to Dealer shall be a condition precedent for the purpose of Section 2(a)(iii) of the Agreement with respect to each obligation of Dealer under Section 2(a)(i) of the Agreement.</w:t>
      </w:r>
    </w:p>
    <w:p>
      <w:pPr>
        <w:spacing w:after="0" w:line="179" w:lineRule="exact"/>
        <w:rPr>
          <w:rFonts w:ascii="Times New Roman" w:cs="Times New Roman" w:eastAsia="Times New Roman" w:hAnsi="Times New Roman"/>
          <w:sz w:val="18"/>
          <w:szCs w:val="18"/>
          <w:color w:val="auto"/>
        </w:rPr>
      </w:pPr>
    </w:p>
    <w:p>
      <w:pPr>
        <w:ind w:left="1292" w:right="20" w:hanging="644"/>
        <w:spacing w:after="0" w:line="263" w:lineRule="auto"/>
        <w:tabs>
          <w:tab w:leader="none" w:pos="1292"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Repurchase Notices</w:t>
      </w:r>
      <w:r>
        <w:rPr>
          <w:rFonts w:ascii="Times New Roman" w:cs="Times New Roman" w:eastAsia="Times New Roman" w:hAnsi="Times New Roman"/>
          <w:sz w:val="17"/>
          <w:szCs w:val="17"/>
          <w:color w:val="auto"/>
        </w:rPr>
        <w:t>. If at any time Counterparty ceases to qualify as a “foreign private issuer” as defined in Rule 3b-4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Act or the Shares otherwise become subject to Section 16 of the Exchange Act, Counterparty shall, on or prior to the date one Scheduled Trading Day immediately following any date on which Counterparty has effected any repurchase of Shares, promptly give Dealer a written notice of such repurchase (a “</w:t>
      </w:r>
      <w:r>
        <w:rPr>
          <w:rFonts w:ascii="Times New Roman" w:cs="Times New Roman" w:eastAsia="Times New Roman" w:hAnsi="Times New Roman"/>
          <w:sz w:val="17"/>
          <w:szCs w:val="17"/>
          <w:b w:val="1"/>
          <w:bCs w:val="1"/>
          <w:color w:val="auto"/>
        </w:rPr>
        <w:t>Repurchase Notice</w:t>
      </w:r>
      <w:r>
        <w:rPr>
          <w:rFonts w:ascii="Times New Roman" w:cs="Times New Roman" w:eastAsia="Times New Roman" w:hAnsi="Times New Roman"/>
          <w:sz w:val="17"/>
          <w:szCs w:val="17"/>
          <w:color w:val="auto"/>
        </w:rPr>
        <w:t>”) on such day if following such repurchase, the number of outstanding Shares as determined on such day is (i) less than [__]</w:t>
      </w:r>
      <w:r>
        <w:rPr>
          <w:rFonts w:ascii="Times New Roman" w:cs="Times New Roman" w:eastAsia="Times New Roman" w:hAnsi="Times New Roman"/>
          <w:sz w:val="28"/>
          <w:szCs w:val="28"/>
          <w:color w:val="auto"/>
          <w:vertAlign w:val="superscript"/>
        </w:rPr>
        <w:t>26</w:t>
      </w:r>
      <w:r>
        <w:rPr>
          <w:rFonts w:ascii="Times New Roman" w:cs="Times New Roman" w:eastAsia="Times New Roman" w:hAnsi="Times New Roman"/>
          <w:sz w:val="17"/>
          <w:szCs w:val="17"/>
          <w:color w:val="auto"/>
        </w:rPr>
        <w:t xml:space="preserve"> million (in the case of the first such notice) or (ii) thereafter more than [__]</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7"/>
          <w:szCs w:val="17"/>
          <w:color w:val="auto"/>
        </w:rPr>
        <w:t xml:space="preserve"> million less than the number of Shares included in the immediately preceding Repurchase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any repurchase of Shares pursuant to a plan under Rule 10b5-1 under the Securities Exchange Act of 1934, as amended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Counterparty may elect to satisfy such requirement by promptly giving Dealer written notice of the entry into such plan,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maximum number of Shares that may be repurchased thereunder and the approximate dates or periods during which such repurchases may occur (with such maximum number of Shares deemed repurchased on the date of such notice for purposes of this Section 9(b)). Counterparty agrees that, if Counterparty ceases to qualify as a “foreign private issuer” as defined in Rule 3b-4 under the Exchange Act or the Shares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expenses (including reasonable attorney’s fees),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17830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32" w:hanging="332"/>
        <w:spacing w:after="0" w:line="195" w:lineRule="auto"/>
        <w:tabs>
          <w:tab w:leader="none" w:pos="332"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outstanding that would cause the current position in the Shares underlying the Transaction of the Dealer with the highest Applicable Percentage (including the number of Shares underlying any additional transaction if the greenshoe is exercised in full) to increase by 0.5%.</w:t>
      </w:r>
    </w:p>
    <w:p>
      <w:pPr>
        <w:spacing w:after="0" w:line="1" w:lineRule="exact"/>
        <w:rPr>
          <w:rFonts w:ascii="Times New Roman" w:cs="Times New Roman" w:eastAsia="Times New Roman" w:hAnsi="Times New Roman"/>
          <w:sz w:val="30"/>
          <w:szCs w:val="30"/>
          <w:color w:val="auto"/>
          <w:vertAlign w:val="superscript"/>
        </w:rPr>
      </w:pPr>
    </w:p>
    <w:p>
      <w:pPr>
        <w:jc w:val="both"/>
        <w:ind w:left="332" w:right="20" w:hanging="332"/>
        <w:spacing w:after="0" w:line="204" w:lineRule="auto"/>
        <w:tabs>
          <w:tab w:leader="none" w:pos="332"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that, if repurchased, would cause the current position in the Shares underlying the Transaction of the Dealer with the highest Applicable Percentage (including the number of Shares underlying any additional transaction if the greenshoe is exercised in full) to increase by a further 0.5% from the threshold for the first Repurchase Notice.</w:t>
      </w: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42" w:name="page143"/>
    <w:bookmarkEnd w:id="142"/>
    <w:p>
      <w:pPr>
        <w:ind w:left="644" w:right="20" w:hanging="644"/>
        <w:spacing w:after="0" w:line="257" w:lineRule="auto"/>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 and OSC Rule 48-501</w:t>
      </w:r>
      <w:r>
        <w:rPr>
          <w:rFonts w:ascii="Times New Roman" w:cs="Times New Roman" w:eastAsia="Times New Roman" w:hAnsi="Times New Roman"/>
          <w:sz w:val="18"/>
          <w:szCs w:val="18"/>
          <w:color w:val="auto"/>
        </w:rPr>
        <w:t>. Counterparty is not on the Trade Date engaged in a distribution, as such term is used in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 under the Exchange Act,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 Counterparty will not take, directly or indirectly, any action prohibited by Ontario Securities Commission Rule 48-501 – Trading during Distributions, Formal Bids and Share Exchange Transactions in connection with the Transaction.</w:t>
      </w:r>
    </w:p>
    <w:p>
      <w:pPr>
        <w:spacing w:after="0" w:line="182" w:lineRule="exact"/>
        <w:rPr>
          <w:rFonts w:ascii="Times New Roman" w:cs="Times New Roman" w:eastAsia="Times New Roman" w:hAnsi="Times New Roman"/>
          <w:sz w:val="18"/>
          <w:szCs w:val="18"/>
          <w:color w:val="auto"/>
        </w:rPr>
      </w:pPr>
    </w:p>
    <w:p>
      <w:pPr>
        <w:ind w:left="644" w:right="100" w:hanging="644"/>
        <w:spacing w:after="0" w:line="261" w:lineRule="auto"/>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 or applicable Canadian securities laws.</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4" w:hanging="656"/>
        <w:spacing w:after="0" w:line="266" w:lineRule="auto"/>
        <w:tabs>
          <w:tab w:leader="none" w:pos="130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175"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9(m)‎ or 9(r)‎ of this Confirmation;</w:t>
      </w:r>
    </w:p>
    <w:p>
      <w:pPr>
        <w:spacing w:after="0" w:line="161" w:lineRule="exact"/>
        <w:rPr>
          <w:rFonts w:ascii="Times New Roman" w:cs="Times New Roman" w:eastAsia="Times New Roman" w:hAnsi="Times New Roman"/>
          <w:sz w:val="18"/>
          <w:szCs w:val="18"/>
          <w:color w:val="auto"/>
        </w:rPr>
      </w:pPr>
    </w:p>
    <w:p>
      <w:pPr>
        <w:ind w:left="1944" w:right="200" w:hanging="648"/>
        <w:spacing w:after="0" w:line="282" w:lineRule="auto"/>
        <w:tabs>
          <w:tab w:leader="none" w:pos="1944"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44" w:right="240" w:hanging="648"/>
        <w:spacing w:after="0" w:line="256" w:lineRule="auto"/>
        <w:tabs>
          <w:tab w:leader="none" w:pos="1944"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Canadian and United States securities laws in a manner that, in the reasonable judgment of Dealer, will not expose Dealer to material risks under applicable Canadian and United States securities laws) and execution of any documentation and delivery of legal opinions with respect to applicable Canadian and United States securities laws and other matters by such third party and Counterparty, as are requested and reasonably satisfactory to Dealer;</w:t>
      </w:r>
    </w:p>
    <w:p>
      <w:pPr>
        <w:spacing w:after="0" w:line="187" w:lineRule="exact"/>
        <w:rPr>
          <w:rFonts w:ascii="Times New Roman" w:cs="Times New Roman" w:eastAsia="Times New Roman" w:hAnsi="Times New Roman"/>
          <w:sz w:val="18"/>
          <w:szCs w:val="18"/>
          <w:color w:val="auto"/>
        </w:rPr>
      </w:pPr>
    </w:p>
    <w:p>
      <w:pPr>
        <w:ind w:left="1944" w:right="20" w:hanging="648"/>
        <w:spacing w:after="0" w:line="253" w:lineRule="auto"/>
        <w:tabs>
          <w:tab w:leader="none" w:pos="1944"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applicable law effective on or as of the date of such transfer and assignment, (1) Dealer will not, as a result of such transfer and assignment (including, for the avoidance of doubt, after giving effect to any indemnity from the transferee or assignee to Dealer provided in connection with such transfer or assignment), be required to pay the transferee on any payment date an amount under Section 2(d)(i)(4) of the Agreement greater than the amount that Dealer would have been required to pay to Counterparty in the absence of such transfer and assignment, except to the extent that the greater amount is due to a Change in Tax Law after the date of such transfer or assignment and (2) Dealer shall be entitled to a payment (including, for the avoidance of doubt, after giving effect to any indemnity from the transferee or assignee to Dealer provided in connection with such transfer or assignment), on any payment date, that is not less than the payment Dealer would have received in the absence of such transfer and/or assignment on account of any deduction or withholding for or on account of any Tax (as defined in the Agreement), except to the extent such deduction or withholding is due to a Change in Tax Law after the date of such transfer or assignment;</w:t>
      </w:r>
    </w:p>
    <w:p>
      <w:pPr>
        <w:spacing w:after="0" w:line="191" w:lineRule="exact"/>
        <w:rPr>
          <w:rFonts w:ascii="Times New Roman" w:cs="Times New Roman" w:eastAsia="Times New Roman" w:hAnsi="Times New Roman"/>
          <w:sz w:val="18"/>
          <w:szCs w:val="18"/>
          <w:color w:val="auto"/>
        </w:rPr>
      </w:pPr>
    </w:p>
    <w:p>
      <w:pPr>
        <w:ind w:left="1944" w:right="400" w:hanging="648"/>
        <w:spacing w:after="0" w:line="282" w:lineRule="auto"/>
        <w:tabs>
          <w:tab w:leader="none" w:pos="1944"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161" w:lineRule="exact"/>
        <w:rPr>
          <w:rFonts w:ascii="Times New Roman" w:cs="Times New Roman" w:eastAsia="Times New Roman" w:hAnsi="Times New Roman"/>
          <w:sz w:val="18"/>
          <w:szCs w:val="18"/>
          <w:color w:val="auto"/>
        </w:rPr>
      </w:pPr>
    </w:p>
    <w:p>
      <w:pPr>
        <w:ind w:left="1944" w:right="180" w:hanging="648"/>
        <w:spacing w:after="0" w:line="289" w:lineRule="auto"/>
        <w:tabs>
          <w:tab w:leader="none" w:pos="1944"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57" w:lineRule="exact"/>
        <w:rPr>
          <w:rFonts w:ascii="Times New Roman" w:cs="Times New Roman" w:eastAsia="Times New Roman" w:hAnsi="Times New Roman"/>
          <w:sz w:val="17"/>
          <w:szCs w:val="17"/>
          <w:color w:val="auto"/>
        </w:rPr>
      </w:pPr>
    </w:p>
    <w:p>
      <w:pPr>
        <w:ind w:left="1944" w:right="100" w:hanging="648"/>
        <w:spacing w:after="0" w:line="282" w:lineRule="auto"/>
        <w:tabs>
          <w:tab w:leader="none" w:pos="1944"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43" w:name="page144"/>
    <w:bookmarkEnd w:id="143"/>
    <w:p>
      <w:pPr>
        <w:ind w:left="840" w:right="60" w:hanging="656"/>
        <w:spacing w:after="0" w:line="267" w:lineRule="auto"/>
        <w:tabs>
          <w:tab w:leader="none" w:pos="8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may transfer or assign all or any part of its rights or obligations under the Transaction (A) without Counterparty’s consent,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or (B) with Counterparty’s consent (such consent not to be unreasonably withheld or delayed), to any other third party with a long-term issuer rating equal to or better than the lesser of (1) the credit rating of Dealer at the time of the transfer and (2) A- by Standard and Poor’s Financial Services LLC or its successor (“</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or A3 by Moody’s Investor Service, Inc. or its successor (“</w:t>
      </w:r>
      <w:r>
        <w:rPr>
          <w:rFonts w:ascii="Times New Roman" w:cs="Times New Roman" w:eastAsia="Times New Roman" w:hAnsi="Times New Roman"/>
          <w:sz w:val="17"/>
          <w:szCs w:val="17"/>
          <w:b w:val="1"/>
          <w:bCs w:val="1"/>
          <w:color w:val="auto"/>
        </w:rPr>
        <w:t>Moody’s</w:t>
      </w:r>
      <w:r>
        <w:rPr>
          <w:rFonts w:ascii="Times New Roman" w:cs="Times New Roman" w:eastAsia="Times New Roman" w:hAnsi="Times New Roman"/>
          <w:sz w:val="17"/>
          <w:szCs w:val="17"/>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assignment described in clause</w:t>
      </w:r>
    </w:p>
    <w:p>
      <w:pPr>
        <w:spacing w:after="0" w:line="5" w:lineRule="exact"/>
        <w:rPr>
          <w:rFonts w:ascii="Times New Roman" w:cs="Times New Roman" w:eastAsia="Times New Roman" w:hAnsi="Times New Roman"/>
          <w:sz w:val="17"/>
          <w:szCs w:val="17"/>
          <w:color w:val="auto"/>
        </w:rPr>
      </w:pPr>
    </w:p>
    <w:p>
      <w:pPr>
        <w:ind w:left="8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or (B) above, under the applicable law effective on or as of the date of such transfer or assignment, (i) no Event of Default, Potential Event of Default or Termination Event will occur as a result of such transfer or assignment, (ii) such transfer or assignment would not result in a taxable exchange from Counterparty’s perspective for U.S. federal income tax purposes, (iii)(1) Counterparty will not, as a result of such transfer or assignment (including, for the avoidance of doubt, after giving effect to any indemnity to Counterparty provided in connection with such transfer or assignment), be required to pay the transferee or assignee on any payment date an amount under Section 2(d)(i)(4) of the Agreement greater than the amount that Counterparty would have been required to pay to Dealer in the absence of such transfer or assignment, except to the extent that the greater amount is due to a Change in Tax Law after the date of such transfer or assignment and (2) Counterparty shall be entitled to a payment (including, for the avoidance of doubt, after giving effect to any indemnity to Counterparty provided in connection with such transfer or assignment), on any payment date, that is not less than the payment Counterparty would have received in the absence of such transfer and/or assignment on account of any deduction or withholding for or on account of any Tax (as defined in the Agreement), except to the extent such deduction or withholding is due to a Change in Tax Law after the date of such transfer or assignment. If at any time at which (A) the Section 13 Percentage exceeds 9.0%,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9(k)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13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w:t>
      </w:r>
    </w:p>
    <w:p>
      <w:pPr>
        <w:spacing w:after="0" w:line="12" w:lineRule="exact"/>
        <w:rPr>
          <w:rFonts w:ascii="Times New Roman" w:cs="Times New Roman" w:eastAsia="Times New Roman" w:hAnsi="Times New Roman"/>
          <w:sz w:val="17"/>
          <w:szCs w:val="17"/>
          <w:color w:val="auto"/>
        </w:rPr>
      </w:pPr>
    </w:p>
    <w:p>
      <w:pPr>
        <w:ind w:left="84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under any law, rule, regulation, regulatory order or organizational documents or contracts of Counterparty that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 Dealer shall cause the transferee or assignee to make the Payee Tax Representations and to provide such tax documentation as may be reasonably requested by Counterparty to permit Counterparty to determine that the results described in (ii), (iii)(1) and (iii)(2) of this paragraph will not occur upon or after the transfer and assignment.</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4" w:name="page145"/>
    <w:bookmarkEnd w:id="144"/>
    <w:p>
      <w:pPr>
        <w:ind w:left="1952" w:hanging="656"/>
        <w:spacing w:after="0" w:line="254" w:lineRule="auto"/>
        <w:tabs>
          <w:tab w:leader="none" w:pos="195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Counterparty shall be entitled to a payment, on any payment date, that is not, after giving effect to any amounts paid under Section 2(d)(i)(4) of the Agreement, less than the payment Counterparty would have received in the absence of such designation on account of any deduction or withholding for or on account of any Tax (as defined in the Agreement), except to the extent such deduction or withholding results from a Change in Tax Law occurring after the date of such designation. Dealer shall be discharged of its obligations to Counterparty to the extent of any such performance.</w:t>
      </w:r>
    </w:p>
    <w:p>
      <w:pPr>
        <w:spacing w:after="0" w:line="186" w:lineRule="exact"/>
        <w:rPr>
          <w:rFonts w:ascii="Times New Roman" w:cs="Times New Roman" w:eastAsia="Times New Roman" w:hAnsi="Times New Roman"/>
          <w:sz w:val="18"/>
          <w:szCs w:val="18"/>
          <w:color w:val="auto"/>
        </w:rPr>
      </w:pPr>
    </w:p>
    <w:p>
      <w:pPr>
        <w:ind w:left="1292" w:right="600" w:hanging="644"/>
        <w:spacing w:after="0" w:line="267" w:lineRule="auto"/>
        <w:tabs>
          <w:tab w:leader="none" w:pos="12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Eligible Financial Contract</w:t>
      </w:r>
      <w:r>
        <w:rPr>
          <w:rFonts w:ascii="Times New Roman" w:cs="Times New Roman" w:eastAsia="Times New Roman" w:hAnsi="Times New Roman"/>
          <w:sz w:val="18"/>
          <w:szCs w:val="18"/>
          <w:color w:val="auto"/>
        </w:rPr>
        <w:t>. The parties intend that this Agreement, including all Transactions entered into hereunder, shall be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“eligible financial contract” as such term is defined in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Companies’ Creditors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 Act </w:t>
      </w:r>
      <w:r>
        <w:rPr>
          <w:rFonts w:ascii="Times New Roman" w:cs="Times New Roman" w:eastAsia="Times New Roman" w:hAnsi="Times New Roman"/>
          <w:sz w:val="18"/>
          <w:szCs w:val="18"/>
          <w:color w:val="auto"/>
        </w:rPr>
        <w:t>(Canada) and the</w:t>
      </w:r>
      <w:r>
        <w:rPr>
          <w:rFonts w:ascii="Times New Roman" w:cs="Times New Roman" w:eastAsia="Times New Roman" w:hAnsi="Times New Roman"/>
          <w:sz w:val="18"/>
          <w:szCs w:val="18"/>
          <w:i w:val="1"/>
          <w:iCs w:val="1"/>
          <w:color w:val="auto"/>
        </w:rPr>
        <w:t xml:space="preserve"> Winding-Up and Restructuring Act </w:t>
      </w:r>
      <w:r>
        <w:rPr>
          <w:rFonts w:ascii="Times New Roman" w:cs="Times New Roman" w:eastAsia="Times New Roman" w:hAnsi="Times New Roman"/>
          <w:sz w:val="18"/>
          <w:szCs w:val="18"/>
          <w:color w:val="auto"/>
        </w:rPr>
        <w:t>(Canada) (collectively, “</w:t>
      </w:r>
      <w:r>
        <w:rPr>
          <w:rFonts w:ascii="Times New Roman" w:cs="Times New Roman" w:eastAsia="Times New Roman" w:hAnsi="Times New Roman"/>
          <w:sz w:val="18"/>
          <w:szCs w:val="18"/>
          <w:b w:val="1"/>
          <w:bCs w:val="1"/>
          <w:color w:val="auto"/>
        </w:rPr>
        <w:t>Canadian Insolvency Law</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592" w:hanging="648"/>
        <w:spacing w:after="0" w:line="266" w:lineRule="auto"/>
        <w:tabs>
          <w:tab w:leader="none" w:pos="2592"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a “Notice of Conversion” (as such term is defined in the Indenture) that is effective as to Counterparty has been delivered by the relevant converting “Holder” (as such term is defined in the Indenture):</w:t>
      </w:r>
    </w:p>
    <w:p>
      <w:pPr>
        <w:spacing w:after="0" w:line="175" w:lineRule="exact"/>
        <w:rPr>
          <w:rFonts w:ascii="Times New Roman" w:cs="Times New Roman" w:eastAsia="Times New Roman" w:hAnsi="Times New Roman"/>
          <w:sz w:val="18"/>
          <w:szCs w:val="18"/>
          <w:color w:val="auto"/>
        </w:rPr>
      </w:pPr>
    </w:p>
    <w:p>
      <w:pPr>
        <w:ind w:left="3232" w:hanging="640"/>
        <w:spacing w:after="0" w:line="258" w:lineRule="auto"/>
        <w:tabs>
          <w:tab w:leader="none" w:pos="3232"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in its sole and absolute discretion, within five (5) Scheduled Trading Days of the Conversion Date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 Notes</w:t>
      </w:r>
      <w:r>
        <w:rPr>
          <w:rFonts w:ascii="Times New Roman" w:cs="Times New Roman" w:eastAsia="Times New Roman" w:hAnsi="Times New Roman"/>
          <w:sz w:val="18"/>
          <w:szCs w:val="18"/>
          <w:color w:val="auto"/>
        </w:rPr>
        <w:t>”), and the giving of such Early Conversion Notice shall constitute an Additional Termination Event as provided in this clause (i);</w:t>
      </w:r>
    </w:p>
    <w:p>
      <w:pPr>
        <w:spacing w:after="0" w:line="183" w:lineRule="exact"/>
        <w:rPr>
          <w:rFonts w:ascii="Times New Roman" w:cs="Times New Roman" w:eastAsia="Times New Roman" w:hAnsi="Times New Roman"/>
          <w:sz w:val="18"/>
          <w:szCs w:val="18"/>
          <w:color w:val="auto"/>
        </w:rPr>
      </w:pPr>
    </w:p>
    <w:p>
      <w:pPr>
        <w:ind w:left="3232" w:right="20" w:hanging="640"/>
        <w:spacing w:after="0" w:line="239" w:lineRule="auto"/>
        <w:tabs>
          <w:tab w:leader="none" w:pos="3232"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Early Conversion Notice, Dealer shall designate an Exchange Business Day as an Early Termination Date (which Exchange Business Day shall be as promptly as reasonably practicable following the Conversion Date for such Early Conversion)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(as defined below)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w:t>
      </w:r>
      <w:r>
        <w:rPr>
          <w:rFonts w:ascii="Times New Roman" w:cs="Times New Roman" w:eastAsia="Times New Roman" w:hAnsi="Times New Roman"/>
          <w:sz w:val="29"/>
          <w:szCs w:val="29"/>
          <w:color w:val="auto"/>
          <w:vertAlign w:val="superscript"/>
        </w:rPr>
        <w:t>28</w:t>
      </w:r>
      <w:r>
        <w:rPr>
          <w:rFonts w:ascii="Times New Roman" w:cs="Times New Roman" w:eastAsia="Times New Roman" w:hAnsi="Times New Roman"/>
          <w:sz w:val="18"/>
          <w:szCs w:val="18"/>
          <w:color w:val="auto"/>
        </w:rPr>
        <w:t xml:space="preserve"> and (y) the Number of Options as of the Conversion Date for such Early Conversion;</w:t>
      </w:r>
    </w:p>
    <w:p>
      <w:pPr>
        <w:spacing w:after="0" w:line="199" w:lineRule="exact"/>
        <w:rPr>
          <w:rFonts w:ascii="Times New Roman" w:cs="Times New Roman" w:eastAsia="Times New Roman" w:hAnsi="Times New Roman"/>
          <w:sz w:val="18"/>
          <w:szCs w:val="18"/>
          <w:color w:val="auto"/>
        </w:rPr>
      </w:pPr>
    </w:p>
    <w:p>
      <w:pPr>
        <w:ind w:left="3232" w:right="180" w:hanging="640"/>
        <w:spacing w:after="0" w:line="258" w:lineRule="auto"/>
        <w:tabs>
          <w:tab w:leader="none" w:pos="3232"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83" w:lineRule="exact"/>
        <w:rPr>
          <w:rFonts w:ascii="Times New Roman" w:cs="Times New Roman" w:eastAsia="Times New Roman" w:hAnsi="Times New Roman"/>
          <w:sz w:val="18"/>
          <w:szCs w:val="18"/>
          <w:color w:val="auto"/>
        </w:rPr>
      </w:pPr>
    </w:p>
    <w:p>
      <w:pPr>
        <w:ind w:left="3232" w:hanging="640"/>
        <w:spacing w:after="0" w:line="256" w:lineRule="auto"/>
        <w:tabs>
          <w:tab w:leader="none" w:pos="3232"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87" w:lineRule="exact"/>
        <w:rPr>
          <w:rFonts w:ascii="Times New Roman" w:cs="Times New Roman" w:eastAsia="Times New Roman" w:hAnsi="Times New Roman"/>
          <w:sz w:val="18"/>
          <w:szCs w:val="18"/>
          <w:color w:val="auto"/>
        </w:rPr>
      </w:pPr>
    </w:p>
    <w:p>
      <w:pPr>
        <w:ind w:left="3232" w:right="380" w:hanging="640"/>
        <w:spacing w:after="0" w:line="282" w:lineRule="auto"/>
        <w:tabs>
          <w:tab w:leader="none" w:pos="3232"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for such Early Conversion, the Number of Options shall be reduced by the Affected Number of Options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830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1" w:lineRule="exact"/>
        <w:rPr>
          <w:sz w:val="20"/>
          <w:szCs w:val="20"/>
          <w:color w:val="auto"/>
        </w:rPr>
      </w:pPr>
    </w:p>
    <w:p>
      <w:pPr>
        <w:ind w:left="332" w:hanging="332"/>
        <w:spacing w:after="0"/>
        <w:tabs>
          <w:tab w:leader="none" w:pos="332"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Additional Call Option Confirmation only.</w:t>
      </w: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45" w:name="page146"/>
    <w:bookmarkEnd w:id="145"/>
    <w:p>
      <w:pPr>
        <w:ind w:left="1960" w:hanging="656"/>
        <w:spacing w:after="0"/>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Scheduled Trading Days following any Repayment Event (as defined below), Counterparty may notify Dealer of such Repayment Event and the aggregate principal amount of Convertible Notes subject to such Repayment Event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Repayment Notice shall contain an acknowledgement by Counterparty of its responsibilities under applicable securities laws, and in particular Section 9 and Section 10(b) of the Exchange Act and the rules and regulations thereunder, in respect of the delivery of such Repayment Notice and shall remake the representation set forth in Section 8(f) hereof as of the date of such Repayment Notice.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 The receipt by Dealer from Counterparty of any</w:t>
      </w:r>
    </w:p>
    <w:p>
      <w:pPr>
        <w:spacing w:after="0" w:line="6" w:lineRule="exact"/>
        <w:rPr>
          <w:rFonts w:ascii="Times New Roman" w:cs="Times New Roman" w:eastAsia="Times New Roman" w:hAnsi="Times New Roman"/>
          <w:sz w:val="18"/>
          <w:szCs w:val="18"/>
          <w:color w:val="auto"/>
        </w:rPr>
      </w:pPr>
    </w:p>
    <w:p>
      <w:pPr>
        <w:ind w:left="19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Repayment Notice shall constitute an Additional Termination Event as provided in this Section 9(h)(iii)‎. Upon receipt of any such Repayment Notice, Dealer shall designate an Exchange Business Day following receipt of such Repayment Notice (which Exchange Business Day shall be on or as promptly as reasonably practicable after the related repurchase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7"/>
          <w:szCs w:val="17"/>
          <w:b w:val="1"/>
          <w:bCs w:val="1"/>
          <w:color w:val="auto"/>
        </w:rPr>
        <w:t>Repayment Options</w:t>
      </w:r>
      <w:r>
        <w:rPr>
          <w:rFonts w:ascii="Times New Roman" w:cs="Times New Roman" w:eastAsia="Times New Roman" w:hAnsi="Times New Roman"/>
          <w:sz w:val="17"/>
          <w:szCs w:val="17"/>
          <w:color w:val="auto"/>
        </w:rPr>
        <w:t xml:space="preserve">”) equal to the lesser of (A) [(x)] the aggregate principal amount of such Convertible Notes specified in such Repayment Notice,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USD 1,000,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8"/>
          <w:szCs w:val="28"/>
          <w:color w:val="auto"/>
          <w:vertAlign w:val="superscript"/>
        </w:rPr>
        <w:t>30</w:t>
      </w:r>
      <w:r>
        <w:rPr>
          <w:rFonts w:ascii="Times New Roman" w:cs="Times New Roman" w:eastAsia="Times New Roman" w:hAnsi="Times New Roman"/>
          <w:sz w:val="17"/>
          <w:szCs w:val="17"/>
          <w:color w:val="auto"/>
        </w:rPr>
        <w:t>,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7"/>
          <w:szCs w:val="17"/>
          <w:b w:val="1"/>
          <w:bCs w:val="1"/>
          <w:color w:val="auto"/>
        </w:rPr>
        <w:t>Repayment Unwind Payment</w:t>
      </w:r>
      <w:r>
        <w:rPr>
          <w:rFonts w:ascii="Times New Roman" w:cs="Times New Roman" w:eastAsia="Times New Roman" w:hAnsi="Times New Roman"/>
          <w:sz w:val="17"/>
          <w:szCs w:val="17"/>
          <w:color w:val="auto"/>
        </w:rPr>
        <w:t>”)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(3) no adjustments to the Conversion Rate have occurred pursuant to an Excluded Provision,</w:t>
      </w:r>
    </w:p>
    <w:p>
      <w:pPr>
        <w:spacing w:after="0" w:line="10" w:lineRule="exact"/>
        <w:rPr>
          <w:rFonts w:ascii="Times New Roman" w:cs="Times New Roman" w:eastAsia="Times New Roman" w:hAnsi="Times New Roman"/>
          <w:sz w:val="18"/>
          <w:szCs w:val="18"/>
          <w:color w:val="auto"/>
        </w:rPr>
      </w:pPr>
    </w:p>
    <w:p>
      <w:pPr>
        <w:ind w:left="196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the corresponding Convertible Notes remain outstanding, (5) the relevant Repayment and any conversions, adjustments, agreements, payments, deliveries or acquisitions by or on behalf of Counterparty leading thereto had not occurred and (6) the terminated portion of the Transaction were the sole Affected Transaction.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Convertible Notes are repurchased or redeemed (whether in connection with or as a result of a fundamental change, howsoever defined, or for any other reason) by Counterparty or any of its subsidiaries, (ii) any Convertible Notes are delivered to Counterparty in exchange for delivery of any property or assets of Counterparty or any of its subsidiaries (howsoever described), (iii) any principal of any of the Convertible Notes is repaid prior to the final maturity date of the Convertible Notes, or (iv) any Convertible Notes are exchanged by or for the benefit of the Holders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(as defined in the Indenture) or any combination thereof) pursuant to the terms of the Indenture shall not constitute a Repayment Event.</w:t>
      </w:r>
    </w:p>
    <w:p>
      <w:pPr>
        <w:spacing w:after="0" w:line="1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120" w:hanging="656"/>
        <w:spacing w:after="0" w:line="266" w:lineRule="auto"/>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deleting the words “a diluting or concentrative” and replacing them with the words “a material” and adding the phrase “or the Options, as a result of a corporate event involving the Issuer” at the end of the sentence.</w:t>
      </w:r>
    </w:p>
    <w:p>
      <w:pPr>
        <w:spacing w:after="0" w:line="175" w:lineRule="exact"/>
        <w:rPr>
          <w:rFonts w:ascii="Times New Roman" w:cs="Times New Roman" w:eastAsia="Times New Roman" w:hAnsi="Times New Roman"/>
          <w:sz w:val="18"/>
          <w:szCs w:val="18"/>
          <w:color w:val="auto"/>
        </w:rPr>
      </w:pPr>
    </w:p>
    <w:p>
      <w:pPr>
        <w:ind w:left="1960" w:right="340" w:hanging="656"/>
        <w:spacing w:after="0" w:line="282" w:lineRule="auto"/>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12.1(d) of the Equity Definitions is hereby amended by replacing “10%” with “20%” in the third line thereof and by replacing all references to “voting shares” therein with “Shares”.</w:t>
      </w:r>
    </w:p>
    <w:p>
      <w:pPr>
        <w:spacing w:after="0" w:line="161" w:lineRule="exact"/>
        <w:rPr>
          <w:rFonts w:ascii="Times New Roman" w:cs="Times New Roman" w:eastAsia="Times New Roman" w:hAnsi="Times New Roman"/>
          <w:sz w:val="18"/>
          <w:szCs w:val="18"/>
          <w:color w:val="auto"/>
        </w:rPr>
      </w:pPr>
    </w:p>
    <w:p>
      <w:pPr>
        <w:ind w:left="1960" w:right="140" w:hanging="656"/>
        <w:spacing w:after="0" w:line="261" w:lineRule="auto"/>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1"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Additional Call Option Confirmation.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Additional Call Option Confirmation.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ind w:left="644" w:right="20" w:hanging="644"/>
        <w:spacing w:after="0" w:line="290" w:lineRule="auto"/>
        <w:tabs>
          <w:tab w:leader="none" w:pos="64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No Netting or Set-off</w:t>
      </w:r>
      <w:r>
        <w:rPr>
          <w:rFonts w:ascii="Times New Roman" w:cs="Times New Roman" w:eastAsia="Times New Roman" w:hAnsi="Times New Roman"/>
          <w:sz w:val="17"/>
          <w:szCs w:val="17"/>
          <w:color w:val="auto"/>
        </w:rPr>
        <w:t>. The provisions of Section 2(c) of the Agreement shall not apply to the Transaction. Each party waives any and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rights it may have to set-off delivery or payment obligations it owes to the other party under the Transaction against any delivery or payment obligations owed to it by the other party under any other agreement between the parties hereto, by operation of law or otherwise.</w:t>
      </w:r>
    </w:p>
    <w:p>
      <w:pPr>
        <w:spacing w:after="0" w:line="155"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line="258" w:lineRule="auto"/>
        <w:tabs>
          <w:tab w:leader="none" w:pos="6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83" w:lineRule="exact"/>
        <w:rPr>
          <w:rFonts w:ascii="Times New Roman" w:cs="Times New Roman" w:eastAsia="Times New Roman" w:hAnsi="Times New Roman"/>
          <w:sz w:val="18"/>
          <w:szCs w:val="18"/>
          <w:color w:val="auto"/>
        </w:rPr>
      </w:pPr>
    </w:p>
    <w:p>
      <w:pPr>
        <w:ind w:left="644" w:right="60" w:hanging="644"/>
        <w:spacing w:after="0" w:line="252" w:lineRule="auto"/>
        <w:tabs>
          <w:tab w:leader="none" w:pos="6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based on the advice of counsel,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 by Dealer for the purpose of effecting a commercially reasonable hedge of its obligations pursuant to the Transaction cannot be sold in the public market by Dealer without registration under the Securities Act, Counterparty shall, at its election made in its sole discretion,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secondary offering of similar size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Counterparty will use its best efforts to enter into a private placement agreement substantially similar to private placement purchase agreements customary for private placements of equity securities of similar size, in form and substance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w:t>
      </w:r>
    </w:p>
    <w:p>
      <w:pPr>
        <w:spacing w:after="0" w:line="195"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79" w:lineRule="exact"/>
        <w:rPr>
          <w:rFonts w:ascii="Times New Roman" w:cs="Times New Roman" w:eastAsia="Times New Roman" w:hAnsi="Times New Roman"/>
          <w:sz w:val="18"/>
          <w:szCs w:val="18"/>
          <w:color w:val="auto"/>
        </w:rPr>
      </w:pPr>
    </w:p>
    <w:p>
      <w:pPr>
        <w:ind w:left="644" w:right="40" w:hanging="644"/>
        <w:spacing w:after="0" w:line="254" w:lineRule="auto"/>
        <w:tabs>
          <w:tab w:leader="none" w:pos="6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date of valuation, payment or delivery by Dealer, with respect to some or all of the Options hereunder, if Dealer reasonably determines, in its discretion, based on the advice of counsel in the case of clause (ii) below, that such action is reasonably necessary or appropriate (i) to preserve Dealer’s commercially reasonable hedging or hedge unwind activity hereunder in light of existing liquidity conditions or (ii)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Valid Day or other date of valuation, payment or delivery may be postponed or added more than 50 Valid Days after the original Valid Day or other date of valuation, payment or delivery, as the case may be.</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47" w:name="page148"/>
    <w:bookmarkEnd w:id="147"/>
    <w:p>
      <w:pPr>
        <w:ind w:left="1300" w:right="20" w:hanging="644"/>
        <w:spacing w:after="0" w:line="258"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shareholders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183" w:lineRule="exact"/>
        <w:rPr>
          <w:rFonts w:ascii="Times New Roman" w:cs="Times New Roman" w:eastAsia="Times New Roman" w:hAnsi="Times New Roman"/>
          <w:sz w:val="18"/>
          <w:szCs w:val="18"/>
          <w:color w:val="auto"/>
        </w:rPr>
      </w:pPr>
    </w:p>
    <w:p>
      <w:pPr>
        <w:ind w:left="1300" w:right="40" w:hanging="644"/>
        <w:spacing w:after="0" w:line="253"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Each of Dealer and Counterparty agrees and acknowledges that Dealer is a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 participant” and “financial participant” within the meaning of Sections 101(22),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227" w:lineRule="exact"/>
        <w:rPr>
          <w:rFonts w:ascii="Times New Roman" w:cs="Times New Roman" w:eastAsia="Times New Roman" w:hAnsi="Times New Roman"/>
          <w:sz w:val="18"/>
          <w:szCs w:val="18"/>
          <w:color w:val="auto"/>
        </w:rPr>
      </w:pPr>
    </w:p>
    <w:p>
      <w:pPr>
        <w:ind w:left="1960" w:right="20" w:hanging="656"/>
        <w:spacing w:after="0" w:line="258" w:lineRule="auto"/>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183" w:lineRule="exact"/>
        <w:rPr>
          <w:rFonts w:ascii="Times New Roman" w:cs="Times New Roman" w:eastAsia="Times New Roman" w:hAnsi="Times New Roman"/>
          <w:sz w:val="18"/>
          <w:szCs w:val="18"/>
          <w:color w:val="auto"/>
        </w:rPr>
      </w:pPr>
    </w:p>
    <w:p>
      <w:pPr>
        <w:ind w:left="1960" w:hanging="656"/>
        <w:spacing w:after="0" w:line="255" w:lineRule="auto"/>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any event at least one Exchange Business Day prior to the relevant Adjustment Notice Deadline) written notice of the section or sections of the Indenture and, if applicable, the formula therein, pursuant to which any adjustment will be made to the Convertible Notes in connection with any Potential Adjustment Event (other than a Potential Adjustment in respect of the Dilution Adjustment Provisions set forth in</w:t>
      </w:r>
    </w:p>
    <w:p>
      <w:pPr>
        <w:spacing w:after="0" w:line="2" w:lineRule="exact"/>
        <w:rPr>
          <w:rFonts w:ascii="Times New Roman" w:cs="Times New Roman" w:eastAsia="Times New Roman" w:hAnsi="Times New Roman"/>
          <w:sz w:val="18"/>
          <w:szCs w:val="18"/>
          <w:color w:val="auto"/>
        </w:rPr>
      </w:pPr>
    </w:p>
    <w:p>
      <w:pPr>
        <w:ind w:left="1960" w:right="2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[14.04(b)]</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7"/>
          <w:szCs w:val="17"/>
          <w:color w:val="auto"/>
        </w:rPr>
        <w:t xml:space="preserve"> or Section [14.04(d)]</w:t>
      </w:r>
      <w:r>
        <w:rPr>
          <w:rFonts w:ascii="Times New Roman" w:cs="Times New Roman" w:eastAsia="Times New Roman" w:hAnsi="Times New Roman"/>
          <w:sz w:val="28"/>
          <w:szCs w:val="28"/>
          <w:color w:val="auto"/>
          <w:vertAlign w:val="superscript"/>
        </w:rPr>
        <w:t>32</w:t>
      </w:r>
      <w:r>
        <w:rPr>
          <w:rFonts w:ascii="Times New Roman" w:cs="Times New Roman" w:eastAsia="Times New Roman" w:hAnsi="Times New Roman"/>
          <w:sz w:val="17"/>
          <w:szCs w:val="17"/>
          <w:color w:val="auto"/>
        </w:rPr>
        <w:t xml:space="preserve"> of the Indenture) or Merger Event and (B) promptly following any such adjustment, Counterparty shall give Dealer written notice of the details of such adjustment. The “</w:t>
      </w:r>
      <w:r>
        <w:rPr>
          <w:rFonts w:ascii="Times New Roman" w:cs="Times New Roman" w:eastAsia="Times New Roman" w:hAnsi="Times New Roman"/>
          <w:sz w:val="17"/>
          <w:szCs w:val="17"/>
          <w:b w:val="1"/>
          <w:bCs w:val="1"/>
          <w:color w:val="auto"/>
        </w:rPr>
        <w:t>Adjustment Notice Deadline</w:t>
      </w:r>
      <w:r>
        <w:rPr>
          <w:rFonts w:ascii="Times New Roman" w:cs="Times New Roman" w:eastAsia="Times New Roman" w:hAnsi="Times New Roman"/>
          <w:sz w:val="17"/>
          <w:szCs w:val="17"/>
          <w:color w:val="auto"/>
        </w:rPr>
        <w:t>” means</w:t>
      </w:r>
    </w:p>
    <w:p>
      <w:pPr>
        <w:ind w:left="1960" w:right="18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for any Potential Adjustment in respect of the Dilution Adjustment Provision set forth in Section [14.04(a)]</w:t>
      </w:r>
      <w:r>
        <w:rPr>
          <w:rFonts w:ascii="Times New Roman" w:cs="Times New Roman" w:eastAsia="Times New Roman" w:hAnsi="Times New Roman"/>
          <w:sz w:val="28"/>
          <w:szCs w:val="28"/>
          <w:color w:val="auto"/>
          <w:vertAlign w:val="superscript"/>
        </w:rPr>
        <w:t>33</w:t>
      </w:r>
      <w:r>
        <w:rPr>
          <w:rFonts w:ascii="Times New Roman" w:cs="Times New Roman" w:eastAsia="Times New Roman" w:hAnsi="Times New Roman"/>
          <w:sz w:val="17"/>
          <w:szCs w:val="17"/>
          <w:color w:val="auto"/>
        </w:rPr>
        <w:t xml:space="preserve"> of the Indenture, the relevant “Ex-Dividend Date” (as such term is defined in the Indenture) or “Effective Date” (as such term is defined in the Indenture), as the case may be, (ii) for any Potential Adjustment in respect of the Dilution Adjustment Provision</w:t>
      </w:r>
    </w:p>
    <w:p>
      <w:pPr>
        <w:spacing w:after="0" w:line="2" w:lineRule="exact"/>
        <w:rPr>
          <w:sz w:val="20"/>
          <w:szCs w:val="20"/>
          <w:color w:val="auto"/>
        </w:rPr>
      </w:pPr>
    </w:p>
    <w:p>
      <w:pPr>
        <w:ind w:left="1960" w:right="40"/>
        <w:spacing w:after="0" w:line="181" w:lineRule="auto"/>
        <w:rPr>
          <w:sz w:val="20"/>
          <w:szCs w:val="20"/>
          <w:color w:val="auto"/>
        </w:rPr>
      </w:pPr>
      <w:r>
        <w:rPr>
          <w:rFonts w:ascii="Times New Roman" w:cs="Times New Roman" w:eastAsia="Times New Roman" w:hAnsi="Times New Roman"/>
          <w:sz w:val="17"/>
          <w:szCs w:val="17"/>
          <w:color w:val="auto"/>
        </w:rPr>
        <w:t>in the first formula set forth in Section [14.04(c)]</w:t>
      </w:r>
      <w:r>
        <w:rPr>
          <w:rFonts w:ascii="Times New Roman" w:cs="Times New Roman" w:eastAsia="Times New Roman" w:hAnsi="Times New Roman"/>
          <w:sz w:val="28"/>
          <w:szCs w:val="28"/>
          <w:color w:val="auto"/>
          <w:vertAlign w:val="superscript"/>
        </w:rPr>
        <w:t>34</w:t>
      </w:r>
      <w:r>
        <w:rPr>
          <w:rFonts w:ascii="Times New Roman" w:cs="Times New Roman" w:eastAsia="Times New Roman" w:hAnsi="Times New Roman"/>
          <w:sz w:val="17"/>
          <w:szCs w:val="17"/>
          <w:color w:val="auto"/>
        </w:rPr>
        <w:t xml:space="preserve"> of the Indenture, the first “Trading Day” (as such term is defined in the Indenture) of the period referred to in the definition of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in such formula, (iii) for any Potential Adjustment in respect of the</w:t>
      </w:r>
    </w:p>
    <w:p>
      <w:pPr>
        <w:spacing w:after="0" w:line="2" w:lineRule="exact"/>
        <w:rPr>
          <w:sz w:val="20"/>
          <w:szCs w:val="20"/>
          <w:color w:val="auto"/>
        </w:rPr>
      </w:pPr>
    </w:p>
    <w:p>
      <w:pPr>
        <w:ind w:left="1960" w:right="180"/>
        <w:spacing w:after="0" w:line="218" w:lineRule="auto"/>
        <w:rPr>
          <w:sz w:val="20"/>
          <w:szCs w:val="20"/>
          <w:color w:val="auto"/>
        </w:rPr>
      </w:pPr>
      <w:r>
        <w:rPr>
          <w:rFonts w:ascii="Times New Roman" w:cs="Times New Roman" w:eastAsia="Times New Roman" w:hAnsi="Times New Roman"/>
          <w:sz w:val="17"/>
          <w:szCs w:val="17"/>
          <w:color w:val="auto"/>
        </w:rPr>
        <w:t>Dilution Adjustment Provision in the second formula set forth in Section [14.04(c)]</w:t>
      </w:r>
      <w:r>
        <w:rPr>
          <w:rFonts w:ascii="Times New Roman" w:cs="Times New Roman" w:eastAsia="Times New Roman" w:hAnsi="Times New Roman"/>
          <w:sz w:val="28"/>
          <w:szCs w:val="28"/>
          <w:color w:val="auto"/>
          <w:vertAlign w:val="superscript"/>
        </w:rPr>
        <w:t>35</w:t>
      </w:r>
      <w:r>
        <w:rPr>
          <w:rFonts w:ascii="Times New Roman" w:cs="Times New Roman" w:eastAsia="Times New Roman" w:hAnsi="Times New Roman"/>
          <w:sz w:val="17"/>
          <w:szCs w:val="17"/>
          <w:color w:val="auto"/>
        </w:rPr>
        <w:t xml:space="preserve"> of the Indenture, the first “Trading Day” (as such term is defined in the Indenture) of the “Valuation Period” (as such term is defined in the Indenture), (iv) for any</w:t>
      </w:r>
    </w:p>
    <w:p>
      <w:pPr>
        <w:spacing w:after="0" w:line="1" w:lineRule="exact"/>
        <w:rPr>
          <w:sz w:val="20"/>
          <w:szCs w:val="20"/>
          <w:color w:val="auto"/>
        </w:rPr>
      </w:pPr>
    </w:p>
    <w:p>
      <w:pPr>
        <w:ind w:left="1960" w:right="140"/>
        <w:spacing w:after="0" w:line="203" w:lineRule="auto"/>
        <w:rPr>
          <w:sz w:val="20"/>
          <w:szCs w:val="20"/>
          <w:color w:val="auto"/>
        </w:rPr>
      </w:pPr>
      <w:r>
        <w:rPr>
          <w:rFonts w:ascii="Times New Roman" w:cs="Times New Roman" w:eastAsia="Times New Roman" w:hAnsi="Times New Roman"/>
          <w:sz w:val="18"/>
          <w:szCs w:val="18"/>
          <w:color w:val="auto"/>
        </w:rPr>
        <w:t>Potential Adjustment in respect of the Dilution Adjustment Provision set forth in Section [14.04(e)]</w:t>
      </w:r>
      <w:r>
        <w:rPr>
          <w:rFonts w:ascii="Times New Roman" w:cs="Times New Roman" w:eastAsia="Times New Roman" w:hAnsi="Times New Roman"/>
          <w:sz w:val="29"/>
          <w:szCs w:val="29"/>
          <w:color w:val="auto"/>
          <w:vertAlign w:val="superscript"/>
        </w:rPr>
        <w:t>36</w:t>
      </w:r>
      <w:r>
        <w:rPr>
          <w:rFonts w:ascii="Times New Roman" w:cs="Times New Roman" w:eastAsia="Times New Roman" w:hAnsi="Times New Roman"/>
          <w:sz w:val="18"/>
          <w:szCs w:val="18"/>
          <w:color w:val="auto"/>
        </w:rPr>
        <w:t xml:space="preserve"> of the Indenture, the first “Trading Day” (as such term is defined in the Indenture) of the period referred to in the definition of “SP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in the formula in such Section, and (v) for any Merger Event, the effective date of such Merger Event (or, if earlier, the first day of any valuation or similar period in respect of such Merger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830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195"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cash,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share distribution, share split and share combination.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describing consequences of tender offers.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ind w:left="1292" w:right="40" w:hanging="644"/>
        <w:spacing w:after="0" w:line="256" w:lineRule="auto"/>
        <w:tabs>
          <w:tab w:leader="none" w:pos="129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82" w:lineRule="exact"/>
        <w:rPr>
          <w:rFonts w:ascii="Times New Roman" w:cs="Times New Roman" w:eastAsia="Times New Roman" w:hAnsi="Times New Roman"/>
          <w:sz w:val="18"/>
          <w:szCs w:val="18"/>
          <w:color w:val="auto"/>
        </w:rPr>
      </w:pPr>
    </w:p>
    <w:p>
      <w:pPr>
        <w:ind w:left="1292" w:right="60" w:hanging="644"/>
        <w:spacing w:after="0" w:line="255" w:lineRule="auto"/>
        <w:tabs>
          <w:tab w:leader="none" w:pos="129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90" w:lineRule="exact"/>
        <w:rPr>
          <w:rFonts w:ascii="Times New Roman" w:cs="Times New Roman" w:eastAsia="Times New Roman" w:hAnsi="Times New Roman"/>
          <w:sz w:val="18"/>
          <w:szCs w:val="18"/>
          <w:color w:val="auto"/>
        </w:rPr>
      </w:pPr>
    </w:p>
    <w:p>
      <w:pPr>
        <w:ind w:left="1292" w:hanging="644"/>
        <w:spacing w:after="0" w:line="234" w:lineRule="auto"/>
        <w:tabs>
          <w:tab w:leader="none" w:pos="1292" w:val="left"/>
        </w:tabs>
        <w:numPr>
          <w:ilvl w:val="0"/>
          <w:numId w:val="1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 Securities”]</w:t>
      </w:r>
      <w:r>
        <w:rPr>
          <w:rFonts w:ascii="Times New Roman" w:cs="Times New Roman" w:eastAsia="Times New Roman" w:hAnsi="Times New Roman"/>
          <w:sz w:val="29"/>
          <w:szCs w:val="29"/>
          <w:color w:val="auto"/>
          <w:vertAlign w:val="superscript"/>
        </w:rPr>
        <w:t>37</w:t>
      </w:r>
      <w:r>
        <w:rPr>
          <w:rFonts w:ascii="Times New Roman" w:cs="Times New Roman" w:eastAsia="Times New Roman" w:hAnsi="Times New Roman"/>
          <w:sz w:val="18"/>
          <w:szCs w:val="18"/>
          <w:color w:val="auto"/>
        </w:rPr>
        <w:t>[“Option Securities”]</w:t>
      </w:r>
      <w:r>
        <w:rPr>
          <w:rFonts w:ascii="Times New Roman" w:cs="Times New Roman" w:eastAsia="Times New Roman" w:hAnsi="Times New Roman"/>
          <w:sz w:val="29"/>
          <w:szCs w:val="29"/>
          <w:color w:val="auto"/>
          <w:vertAlign w:val="superscript"/>
        </w:rPr>
        <w:t>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Note Purchase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October [16], 2025, among Counterparty and Cantor Fitzgerald &amp; Co. as representative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is not 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205" w:lineRule="exact"/>
        <w:rPr>
          <w:rFonts w:ascii="Times New Roman" w:cs="Times New Roman" w:eastAsia="Times New Roman" w:hAnsi="Times New Roman"/>
          <w:sz w:val="36"/>
          <w:szCs w:val="36"/>
          <w:color w:val="auto"/>
          <w:vertAlign w:val="superscript"/>
        </w:rPr>
      </w:pPr>
    </w:p>
    <w:p>
      <w:pPr>
        <w:ind w:left="1292" w:hanging="644"/>
        <w:spacing w:after="0" w:line="258" w:lineRule="auto"/>
        <w:tabs>
          <w:tab w:leader="none" w:pos="129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83" w:lineRule="exact"/>
        <w:rPr>
          <w:rFonts w:ascii="Times New Roman" w:cs="Times New Roman" w:eastAsia="Times New Roman" w:hAnsi="Times New Roman"/>
          <w:sz w:val="18"/>
          <w:szCs w:val="18"/>
          <w:color w:val="auto"/>
        </w:rPr>
      </w:pPr>
    </w:p>
    <w:p>
      <w:pPr>
        <w:ind w:left="1292" w:right="20" w:hanging="644"/>
        <w:spacing w:after="0" w:line="252" w:lineRule="auto"/>
        <w:tabs>
          <w:tab w:leader="none" w:pos="129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 of adjusting the Cap Price pursuant to this Section 9(w), the terms “Merger Event,” “Tender Offer” and “Potential Adjustment Event” shall each have the meanings assigned to such term in the Equity Definitions (in the case of the definition of “Tender Offer,” as amended by Section 9(i)(ii) above, and in the case of the definition of “Potential Adjustment Event”, as amended by Section 9(i)(i) above),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to preserve the fair value of the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 solely in the case of a Potential Adjustment Event pursuant Section 11.2(e)(i), (ii)(A) or (iv), no adjustments will be made to account solely for changes in volatility, expected dividends, stock loan rate or liquidity relative to the relevant Shares, (x) the parties agree that Exempted Repurchases shall not be considered Potential Adjustment Events, and (y) in no event shall the Cap Price be less than the Strike Price. “</w:t>
      </w:r>
      <w:r>
        <w:rPr>
          <w:rFonts w:ascii="Times New Roman" w:cs="Times New Roman" w:eastAsia="Times New Roman" w:hAnsi="Times New Roman"/>
          <w:sz w:val="18"/>
          <w:szCs w:val="18"/>
          <w:b w:val="1"/>
          <w:bCs w:val="1"/>
          <w:color w:val="auto"/>
        </w:rPr>
        <w:t>Exempted Repurchase</w:t>
      </w:r>
      <w:r>
        <w:rPr>
          <w:rFonts w:ascii="Times New Roman" w:cs="Times New Roman" w:eastAsia="Times New Roman" w:hAnsi="Times New Roman"/>
          <w:sz w:val="18"/>
          <w:szCs w:val="18"/>
          <w:color w:val="auto"/>
        </w:rPr>
        <w:t>” means any (1) open market Share repurchase at prevailing market prices (including, without limitation, any discount to average VWAP prices), (2) any privately negotiated Share repurchases entered into outside of an exchange or (3) Share repurchase through a dealer pursuant to accelerated share repurchases, forward contracts or similar transactions that is entered into at prevailing market prices (including, without limitation, any discount to average VWAP prices) and in accordance with customary market terms for transactions of such type to repurchase the Shares, so long as the aggregate of such Exempted Repurchase transactions described in clauses (1), (2) and (3) above would not exceed 20% of the number of Shares outstanding as of the Trade Date, as determined by Calculation Agent in a commercially reasonable manner and as adjusted by the Calculation Agent to account for any subdivision or combination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7830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4" w:lineRule="exact"/>
        <w:rPr>
          <w:sz w:val="20"/>
          <w:szCs w:val="20"/>
          <w:color w:val="auto"/>
        </w:rPr>
      </w:pPr>
    </w:p>
    <w:p>
      <w:pPr>
        <w:ind w:left="332" w:hanging="332"/>
        <w:spacing w:after="0"/>
        <w:tabs>
          <w:tab w:leader="none" w:pos="332"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Base Call Option Confirmation only.</w:t>
      </w:r>
    </w:p>
    <w:p>
      <w:pPr>
        <w:spacing w:after="0" w:line="1" w:lineRule="exact"/>
        <w:rPr>
          <w:rFonts w:ascii="Times New Roman" w:cs="Times New Roman" w:eastAsia="Times New Roman" w:hAnsi="Times New Roman"/>
          <w:sz w:val="30"/>
          <w:szCs w:val="30"/>
          <w:color w:val="auto"/>
          <w:vertAlign w:val="superscript"/>
        </w:rPr>
      </w:pPr>
    </w:p>
    <w:p>
      <w:pPr>
        <w:ind w:left="332" w:hanging="332"/>
        <w:spacing w:after="0" w:line="194" w:lineRule="auto"/>
        <w:tabs>
          <w:tab w:leader="none" w:pos="332" w:val="left"/>
        </w:tabs>
        <w:numPr>
          <w:ilvl w:val="0"/>
          <w:numId w:val="1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in Additional Call Option Confirmation only.</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149" w:name="page150"/>
    <w:bookmarkEnd w:id="149"/>
    <w:p>
      <w:pPr>
        <w:ind w:left="1292" w:hanging="644"/>
        <w:spacing w:after="0"/>
        <w:tabs>
          <w:tab w:leader="none" w:pos="129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52" w:right="20" w:hanging="656"/>
        <w:spacing w:after="0" w:line="255" w:lineRule="auto"/>
        <w:tabs>
          <w:tab w:leader="none" w:pos="19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Provisions of the HIRE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Indemnifiable Tax</w:t>
      </w:r>
      <w:r>
        <w:rPr>
          <w:rFonts w:ascii="Times New Roman" w:cs="Times New Roman" w:eastAsia="Times New Roman" w:hAnsi="Times New Roman"/>
          <w:sz w:val="18"/>
          <w:szCs w:val="18"/>
          <w:color w:val="auto"/>
        </w:rPr>
        <w:t>,” as defined in Section 14 of the Agreement, shall not include any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6" w:lineRule="exact"/>
        <w:rPr>
          <w:rFonts w:ascii="Times New Roman" w:cs="Times New Roman" w:eastAsia="Times New Roman" w:hAnsi="Times New Roman"/>
          <w:sz w:val="18"/>
          <w:szCs w:val="18"/>
          <w:color w:val="auto"/>
        </w:rPr>
      </w:pPr>
    </w:p>
    <w:p>
      <w:pPr>
        <w:ind w:left="1952" w:hanging="656"/>
        <w:spacing w:after="0" w:line="253" w:lineRule="auto"/>
        <w:tabs>
          <w:tab w:leader="none" w:pos="19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either party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Dealer and Counterparty hereby agree that the provisions and amendments contained in the Attachment to the 871(m) Protocol are incorporated into and apply to the Agreement with respect to this Transaction as if set forth in full herein. If there is any inconsistency between this provision and a provision in any other agreement executed between the parties to which this Transaction relates, this provision shall prevail unless such other agreement expressly overrides the provisions of the 871(m) Protocol. Dealer and Counterparty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89" w:lineRule="exact"/>
        <w:rPr>
          <w:rFonts w:ascii="Times New Roman" w:cs="Times New Roman" w:eastAsia="Times New Roman" w:hAnsi="Times New Roman"/>
          <w:sz w:val="18"/>
          <w:szCs w:val="18"/>
          <w:color w:val="auto"/>
        </w:rPr>
      </w:pPr>
    </w:p>
    <w:p>
      <w:pPr>
        <w:ind w:left="1952" w:right="40" w:hanging="656"/>
        <w:spacing w:after="0" w:line="237" w:lineRule="auto"/>
        <w:tabs>
          <w:tab w:leader="none" w:pos="19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Documentation</w:t>
      </w:r>
      <w:r>
        <w:rPr>
          <w:rFonts w:ascii="Times New Roman" w:cs="Times New Roman" w:eastAsia="Times New Roman" w:hAnsi="Times New Roman"/>
          <w:sz w:val="18"/>
          <w:szCs w:val="18"/>
          <w:color w:val="auto"/>
        </w:rPr>
        <w:t>. For the purposes of Sections 4(a)(i) and 4(a)(ii) of the Agreement, Dealer shall provide to Counterparty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U.S. Internal Revenue Service Form [W-9]</w:t>
      </w:r>
      <w:r>
        <w:rPr>
          <w:rFonts w:ascii="Times New Roman" w:cs="Times New Roman" w:eastAsia="Times New Roman" w:hAnsi="Times New Roman"/>
          <w:sz w:val="29"/>
          <w:szCs w:val="29"/>
          <w:color w:val="auto"/>
          <w:vertAlign w:val="superscript"/>
        </w:rPr>
        <w:t>39</w:t>
      </w:r>
      <w:r>
        <w:rPr>
          <w:rFonts w:ascii="Times New Roman" w:cs="Times New Roman" w:eastAsia="Times New Roman" w:hAnsi="Times New Roman"/>
          <w:sz w:val="18"/>
          <w:szCs w:val="18"/>
          <w:color w:val="auto"/>
        </w:rPr>
        <w:t>, or any successor thereto, and Counterparty shall provide to Dealer a valid U.S. Internal Revenue Service Form W-8BEN-E, or any successor thereto, (i) on or before the date of execution of this Confirmation, (ii) promptly upon learning that any such tax form previously provided by it has become obsolete or incorrect and (iii) promptly upon reasonable request of the other party. Additionally, each party shall, promptly upon request by the other party, provide such other tax forms and documents reasonably requested by the other party.</w:t>
      </w:r>
    </w:p>
    <w:p>
      <w:pPr>
        <w:spacing w:after="0" w:line="201" w:lineRule="exact"/>
        <w:rPr>
          <w:rFonts w:ascii="Times New Roman" w:cs="Times New Roman" w:eastAsia="Times New Roman" w:hAnsi="Times New Roman"/>
          <w:sz w:val="18"/>
          <w:szCs w:val="18"/>
          <w:color w:val="auto"/>
        </w:rPr>
      </w:pPr>
    </w:p>
    <w:p>
      <w:pPr>
        <w:ind w:left="1952" w:right="40" w:hanging="656"/>
        <w:spacing w:after="0" w:line="254" w:lineRule="auto"/>
        <w:tabs>
          <w:tab w:leader="none" w:pos="19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Payer Tax Representations</w:t>
      </w:r>
      <w:r>
        <w:rPr>
          <w:rFonts w:ascii="Times New Roman" w:cs="Times New Roman" w:eastAsia="Times New Roman" w:hAnsi="Times New Roman"/>
          <w:sz w:val="18"/>
          <w:szCs w:val="18"/>
          <w:color w:val="auto"/>
        </w:rPr>
        <w:t>. For the purpose of Section 3(e) of the Agreement, each party makes the following representation: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it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78308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32" w:hanging="332"/>
        <w:spacing w:after="0"/>
        <w:tabs>
          <w:tab w:leader="none" w:pos="332" w:val="left"/>
        </w:tabs>
        <w:numPr>
          <w:ilvl w:val="0"/>
          <w:numId w:val="1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modified for Dealers as appropriate.</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150" w:name="page151"/>
    <w:bookmarkEnd w:id="150"/>
    <w:p>
      <w:pPr>
        <w:ind w:left="1304" w:hanging="656"/>
        <w:spacing w:after="0"/>
        <w:tabs>
          <w:tab w:leader="none" w:pos="130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 For the purpose of Section 3(f) of the Agreement, the parties make the representations below:</w:t>
      </w:r>
    </w:p>
    <w:p>
      <w:pPr>
        <w:spacing w:after="0" w:line="227" w:lineRule="exact"/>
        <w:rPr>
          <w:rFonts w:ascii="Times New Roman" w:cs="Times New Roman" w:eastAsia="Times New Roman" w:hAnsi="Times New Roman"/>
          <w:sz w:val="18"/>
          <w:szCs w:val="18"/>
          <w:color w:val="auto"/>
        </w:rPr>
      </w:pPr>
    </w:p>
    <w:p>
      <w:pPr>
        <w:ind w:left="1944" w:right="5820" w:hanging="648"/>
        <w:spacing w:after="0" w:line="499" w:lineRule="auto"/>
        <w:tabs>
          <w:tab w:leader="none" w:pos="194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Dealer represents to Counterparty that: </w:t>
      </w:r>
      <w:r>
        <w:rPr>
          <w:rFonts w:ascii="Times New Roman" w:cs="Times New Roman" w:eastAsia="Times New Roman" w:hAnsi="Times New Roman"/>
          <w:sz w:val="18"/>
          <w:szCs w:val="18"/>
          <w:i w:val="1"/>
          <w:iCs w:val="1"/>
          <w:color w:val="auto"/>
        </w:rPr>
        <w:t>[Insert Dealer Boilerplate]</w:t>
      </w:r>
    </w:p>
    <w:p>
      <w:pPr>
        <w:spacing w:after="0" w:line="1" w:lineRule="exact"/>
        <w:rPr>
          <w:rFonts w:ascii="Times New Roman" w:cs="Times New Roman" w:eastAsia="Times New Roman" w:hAnsi="Times New Roman"/>
          <w:sz w:val="18"/>
          <w:szCs w:val="18"/>
          <w:color w:val="auto"/>
        </w:rPr>
      </w:pPr>
    </w:p>
    <w:p>
      <w:pPr>
        <w:ind w:left="1944" w:right="620" w:hanging="648"/>
        <w:spacing w:after="0" w:line="284" w:lineRule="auto"/>
        <w:tabs>
          <w:tab w:leader="none" w:pos="194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Counterparty represents to Dealer that it is not a non-resident of Canada for the purposes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w:t>
      </w:r>
    </w:p>
    <w:p>
      <w:pPr>
        <w:spacing w:after="0" w:line="160"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and Dealer each makes the following representation to the other:</w:t>
      </w:r>
    </w:p>
    <w:p>
      <w:pPr>
        <w:spacing w:after="0" w:line="225" w:lineRule="exact"/>
        <w:rPr>
          <w:rFonts w:ascii="Times New Roman" w:cs="Times New Roman" w:eastAsia="Times New Roman" w:hAnsi="Times New Roman"/>
          <w:sz w:val="18"/>
          <w:szCs w:val="18"/>
          <w:color w:val="auto"/>
        </w:rPr>
      </w:pPr>
    </w:p>
    <w:p>
      <w:pPr>
        <w:ind w:left="1944"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fully eligible for the benefits of the “Business Profits” or “Industrial and Commercial Profits” provision, as the case may be, the “Interest” provision, “Dividends” provision or the “Other Income” provision (if any) of the Specified Treaty with respect to any payment described in such provision and received or to be received by it in connection with this Agreement and no such payment is attributable to a trade or business carried on by it through a permanent establishment in the Specified Jurisdiction</w:t>
      </w:r>
    </w:p>
    <w:p>
      <w:pPr>
        <w:spacing w:after="0" w:line="183" w:lineRule="exact"/>
        <w:rPr>
          <w:rFonts w:ascii="Times New Roman" w:cs="Times New Roman" w:eastAsia="Times New Roman" w:hAnsi="Times New Roman"/>
          <w:sz w:val="18"/>
          <w:szCs w:val="18"/>
          <w:color w:val="auto"/>
        </w:rPr>
      </w:pPr>
    </w:p>
    <w:p>
      <w:pPr>
        <w:ind w:left="1944"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Treaty” means, with respect to Counterparty and Dealer, the income tax convention or treaty between the Government of Canada and the [</w:t>
      </w:r>
      <w:r>
        <w:rPr>
          <w:rFonts w:ascii="Times New Roman" w:cs="Times New Roman" w:eastAsia="Times New Roman" w:hAnsi="Times New Roman"/>
          <w:sz w:val="18"/>
          <w:szCs w:val="18"/>
          <w:i w:val="1"/>
          <w:iCs w:val="1"/>
          <w:color w:val="auto"/>
        </w:rPr>
        <w:t>Dealer to provide jurisdiction]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Jurisdiction” means, with respect to Dealer, Canada.</w:t>
      </w:r>
    </w:p>
    <w:p>
      <w:pPr>
        <w:spacing w:after="0" w:line="223" w:lineRule="exact"/>
        <w:rPr>
          <w:rFonts w:ascii="Times New Roman" w:cs="Times New Roman" w:eastAsia="Times New Roman" w:hAnsi="Times New Roman"/>
          <w:sz w:val="18"/>
          <w:szCs w:val="18"/>
          <w:color w:val="auto"/>
        </w:rPr>
      </w:pPr>
    </w:p>
    <w:p>
      <w:pPr>
        <w:ind w:left="19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“Specified Jurisdiction” means, with respect to Counterparty, </w:t>
      </w:r>
      <w:r>
        <w:rPr>
          <w:rFonts w:ascii="Times New Roman" w:cs="Times New Roman" w:eastAsia="Times New Roman" w:hAnsi="Times New Roman"/>
          <w:sz w:val="18"/>
          <w:szCs w:val="18"/>
          <w:i w:val="1"/>
          <w:iCs w:val="1"/>
          <w:color w:val="auto"/>
        </w:rPr>
        <w:t>[Dealer to provide jurisdiction]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40" w:hanging="644"/>
        <w:spacing w:after="0" w:line="254" w:lineRule="auto"/>
        <w:tabs>
          <w:tab w:leader="none" w:pos="6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CARES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represents and warrants that it and any of its subsidiaries has not applied, and shall not, until after the first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w:t>
      </w:r>
    </w:p>
    <w:p>
      <w:pPr>
        <w:spacing w:after="0" w:line="1" w:lineRule="exact"/>
        <w:rPr>
          <w:rFonts w:ascii="Times New Roman" w:cs="Times New Roman" w:eastAsia="Times New Roman" w:hAnsi="Times New Roman"/>
          <w:sz w:val="18"/>
          <w:szCs w:val="18"/>
          <w:color w:val="auto"/>
        </w:rPr>
      </w:pPr>
    </w:p>
    <w:p>
      <w:pPr>
        <w:ind w:left="644" w:firstLine="4"/>
        <w:spacing w:after="0" w:line="251" w:lineRule="auto"/>
        <w:tabs>
          <w:tab w:leader="none" w:pos="89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Counterparty, and that Counterparty has not, as of the date specified in the condition, made a capital distribution or will not make a capital distribution, or (ii) where the terms of the Transaction would cause Counterparty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Counterparty or any of its subsidiaries may apply for Restricted Financial Assistance if Counterparty either (a)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advice of outside counsel of national standing that the terms of the Transaction would not cause Counterparty or any of its subsidiaries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51" w:name="page152"/>
    <w:bookmarkEnd w:id="151"/>
    <w:p>
      <w:pPr>
        <w:ind w:left="1292" w:hanging="644"/>
        <w:spacing w:after="0"/>
        <w:tabs>
          <w:tab w:leader="none" w:pos="129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Agency Boilerplate, If Applicable.]</w:t>
      </w:r>
    </w:p>
    <w:p>
      <w:pPr>
        <w:spacing w:after="0" w:line="223" w:lineRule="exact"/>
        <w:rPr>
          <w:rFonts w:ascii="Times New Roman" w:cs="Times New Roman" w:eastAsia="Times New Roman" w:hAnsi="Times New Roman"/>
          <w:sz w:val="18"/>
          <w:szCs w:val="18"/>
          <w:color w:val="auto"/>
        </w:rPr>
      </w:pPr>
    </w:p>
    <w:p>
      <w:pPr>
        <w:ind w:left="1292" w:hanging="644"/>
        <w:spacing w:after="0" w:line="261" w:lineRule="auto"/>
        <w:tabs>
          <w:tab w:leader="none" w:pos="129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signature page by facsimile or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spacing w:after="0" w:line="180" w:lineRule="exact"/>
        <w:rPr>
          <w:sz w:val="20"/>
          <w:szCs w:val="20"/>
          <w:color w:val="auto"/>
        </w:rPr>
      </w:pPr>
    </w:p>
    <w:p>
      <w:pPr>
        <w:ind w:left="1292" w:right="80" w:hanging="644"/>
        <w:spacing w:after="0" w:line="267" w:lineRule="auto"/>
        <w:tabs>
          <w:tab w:leader="none" w:pos="129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of Dealer and Counterparty acknowledges and agrees to be bound by the Conduct Rules of the Financial Industry Regulatory Authority, Inc. applicable to transactions in options, and further agrees not to violate the position and exercise limits set forth therein.</w:t>
      </w:r>
    </w:p>
    <w:p>
      <w:pPr>
        <w:spacing w:after="0" w:line="173" w:lineRule="exact"/>
        <w:rPr>
          <w:rFonts w:ascii="Times New Roman" w:cs="Times New Roman" w:eastAsia="Times New Roman" w:hAnsi="Times New Roman"/>
          <w:sz w:val="18"/>
          <w:szCs w:val="18"/>
          <w:color w:val="auto"/>
        </w:rPr>
      </w:pPr>
    </w:p>
    <w:p>
      <w:pPr>
        <w:ind w:left="1292" w:right="580" w:hanging="644"/>
        <w:spacing w:after="0" w:line="277" w:lineRule="auto"/>
        <w:tabs>
          <w:tab w:leader="none" w:pos="129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 Disclosure Statement</w:t>
      </w:r>
      <w:r>
        <w:rPr>
          <w:rFonts w:ascii="Times New Roman" w:cs="Times New Roman" w:eastAsia="Times New Roman" w:hAnsi="Times New Roman"/>
          <w:sz w:val="18"/>
          <w:szCs w:val="18"/>
          <w:color w:val="auto"/>
        </w:rPr>
        <w:t>. Counterparty represents and warrants that it has received, read and understands the OTC Options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9"/>
          <w:szCs w:val="29"/>
          <w:color w:val="auto"/>
          <w:vertAlign w:val="superscript"/>
        </w:rPr>
        <w:t>40</w:t>
      </w:r>
    </w:p>
    <w:p>
      <w:pPr>
        <w:spacing w:after="0" w:line="41" w:lineRule="exact"/>
        <w:rPr>
          <w:rFonts w:ascii="Times New Roman" w:cs="Times New Roman" w:eastAsia="Times New Roman" w:hAnsi="Times New Roman"/>
          <w:sz w:val="18"/>
          <w:szCs w:val="18"/>
          <w:color w:val="auto"/>
        </w:rPr>
      </w:pPr>
    </w:p>
    <w:p>
      <w:pPr>
        <w:ind w:left="1292" w:hanging="644"/>
        <w:spacing w:after="0" w:line="253" w:lineRule="auto"/>
        <w:tabs>
          <w:tab w:leader="none" w:pos="129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Resolution Stay Protocol</w:t>
      </w:r>
      <w:r>
        <w:rPr>
          <w:rFonts w:ascii="Times New Roman" w:cs="Times New Roman" w:eastAsia="Times New Roman" w:hAnsi="Times New Roman"/>
          <w:sz w:val="18"/>
          <w:szCs w:val="18"/>
          <w:color w:val="auto"/>
        </w:rPr>
        <w:t>. The parties acknowledge and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the Agreement, and for such purposes the Agreement shall be deemed a Protocol Covered Agreement, Dealer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the Agreement, and for such purposes the Agreement shall be deemed a Covered Agreement, Dealer shall be deemed a Covered Entity and Counterparty shall be deemed a Counterparty Entity;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Dealer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 “</w:t>
      </w:r>
      <w:r>
        <w:rPr>
          <w:rFonts w:ascii="Times New Roman" w:cs="Times New Roman" w:eastAsia="Times New Roman" w:hAnsi="Times New Roman"/>
          <w:sz w:val="18"/>
          <w:szCs w:val="18"/>
          <w:i w:val="1"/>
          <w:i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 w:cs="Times New Roman" w:eastAsia="Times New Roman" w:hAnsi="Times New Roman"/>
          <w:sz w:val="29"/>
          <w:szCs w:val="29"/>
          <w:color w:val="auto"/>
          <w:vertAlign w:val="superscript"/>
        </w:rPr>
        <w:t>41</w:t>
      </w:r>
    </w:p>
    <w:p>
      <w:pPr>
        <w:spacing w:after="0" w:line="66" w:lineRule="exact"/>
        <w:rPr>
          <w:rFonts w:ascii="Times New Roman" w:cs="Times New Roman" w:eastAsia="Times New Roman" w:hAnsi="Times New Roman"/>
          <w:sz w:val="18"/>
          <w:szCs w:val="18"/>
          <w:color w:val="auto"/>
        </w:rPr>
      </w:pPr>
    </w:p>
    <w:p>
      <w:pPr>
        <w:ind w:left="1292" w:right="40" w:hanging="644"/>
        <w:spacing w:after="0" w:line="265" w:lineRule="auto"/>
        <w:tabs>
          <w:tab w:leader="none" w:pos="129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Canadian Representation Letters</w:t>
      </w:r>
      <w:r>
        <w:rPr>
          <w:rFonts w:ascii="Times New Roman" w:cs="Times New Roman" w:eastAsia="Times New Roman" w:hAnsi="Times New Roman"/>
          <w:sz w:val="18"/>
          <w:szCs w:val="18"/>
          <w:color w:val="auto"/>
        </w:rPr>
        <w:t>. Counterparty agrees to deliver to Dealer, prior to the Effective Date, a duly completed and executed copy of each of (i) Canadian Representation Letter #1 (Trade Reporting and Other Obligations), as published by the International Swaps and Derivatives Association, Inc. on March 23, 2016 and available at www.isda.org and (ii) Canadian Representation Letter #2 (Business Conduct Rule), as published by the International Swaps and Derivatives Association, Inc. on February 12, 2024 and available at www.isda.org.]</w:t>
      </w:r>
      <w:r>
        <w:rPr>
          <w:rFonts w:ascii="Times New Roman" w:cs="Times New Roman" w:eastAsia="Times New Roman" w:hAnsi="Times New Roman"/>
          <w:sz w:val="29"/>
          <w:szCs w:val="29"/>
          <w:color w:val="auto"/>
          <w:vertAlign w:val="superscript"/>
        </w:rPr>
        <w:t>42</w:t>
      </w: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178308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32" w:hanging="332"/>
        <w:spacing w:after="0"/>
        <w:tabs>
          <w:tab w:leader="none" w:pos="332" w:val="left"/>
        </w:tabs>
        <w:numPr>
          <w:ilvl w:val="0"/>
          <w:numId w:val="1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if applicable.</w:t>
      </w:r>
    </w:p>
    <w:p>
      <w:pPr>
        <w:spacing w:after="0" w:line="1" w:lineRule="exact"/>
        <w:rPr>
          <w:rFonts w:ascii="Times New Roman" w:cs="Times New Roman" w:eastAsia="Times New Roman" w:hAnsi="Times New Roman"/>
          <w:sz w:val="30"/>
          <w:szCs w:val="30"/>
          <w:color w:val="auto"/>
          <w:vertAlign w:val="superscript"/>
        </w:rPr>
      </w:pPr>
    </w:p>
    <w:p>
      <w:pPr>
        <w:ind w:left="332" w:hanging="332"/>
        <w:spacing w:after="0" w:line="194" w:lineRule="auto"/>
        <w:tabs>
          <w:tab w:leader="none" w:pos="332" w:val="left"/>
        </w:tabs>
        <w:numPr>
          <w:ilvl w:val="0"/>
          <w:numId w:val="1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Update as necessary.</w:t>
      </w:r>
    </w:p>
    <w:p>
      <w:pPr>
        <w:spacing w:after="0" w:line="2" w:lineRule="exact"/>
        <w:rPr>
          <w:rFonts w:ascii="Times New Roman" w:cs="Times New Roman" w:eastAsia="Times New Roman" w:hAnsi="Times New Roman"/>
          <w:sz w:val="23"/>
          <w:szCs w:val="23"/>
          <w:color w:val="auto"/>
          <w:vertAlign w:val="superscript"/>
        </w:rPr>
      </w:pPr>
    </w:p>
    <w:p>
      <w:pPr>
        <w:ind w:left="332" w:hanging="332"/>
        <w:spacing w:after="0" w:line="194" w:lineRule="auto"/>
        <w:tabs>
          <w:tab w:leader="none" w:pos="332" w:val="left"/>
        </w:tabs>
        <w:numPr>
          <w:ilvl w:val="0"/>
          <w:numId w:val="1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if applicable.</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t>Please confirm that the foregoing correctly sets forth the terms of our agreement by executing this Confirmation and returning it to Dealer.</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17145</wp:posOffset>
            </wp:positionV>
            <wp:extent cx="25374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904" w:right="9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5971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lowerLetter"/>
      <w:start w:val="2"/>
    </w:lvl>
  </w:abstractNum>
  <w:abstractNum w:abstractNumId="1">
    <w:nsid w:val="5DC79EA8"/>
    <w:multiLevelType w:val="hybridMultilevel"/>
    <w:lvl w:ilvl="0">
      <w:lvlJc w:val="left"/>
      <w:lvlText w:val="(%1)"/>
      <w:numFmt w:val="lowerLetter"/>
      <w:start w:val="1"/>
    </w:lvl>
  </w:abstractNum>
  <w:abstractNum w:abstractNumId="2">
    <w:nsid w:val="540A471C"/>
    <w:multiLevelType w:val="hybridMultilevel"/>
    <w:lvl w:ilvl="0">
      <w:lvlJc w:val="left"/>
      <w:lvlText w:val="(%1)"/>
      <w:numFmt w:val="lowerLetter"/>
      <w:start w:val="1"/>
    </w:lvl>
  </w:abstractNum>
  <w:abstractNum w:abstractNumId="3">
    <w:nsid w:val="7BD3EE7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
    <w:nsid w:val="51D9C56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5">
    <w:nsid w:val="613EFDC5"/>
    <w:multiLevelType w:val="hybridMultilevel"/>
    <w:lvl w:ilvl="0">
      <w:lvlJc w:val="left"/>
      <w:lvlText w:val="(%1)"/>
      <w:numFmt w:val="lowerLetter"/>
      <w:start w:val="2"/>
    </w:lvl>
  </w:abstractNum>
  <w:abstractNum w:abstractNumId="6">
    <w:nsid w:val="BF72B14"/>
    <w:multiLevelType w:val="hybridMultilevel"/>
    <w:lvl w:ilvl="0">
      <w:lvlJc w:val="left"/>
      <w:lvlText w:val="(%1)"/>
      <w:numFmt w:val="lowerLetter"/>
      <w:start w:val="3"/>
    </w:lvl>
  </w:abstractNum>
  <w:abstractNum w:abstractNumId="7">
    <w:nsid w:val="11447B73"/>
    <w:multiLevelType w:val="hybridMultilevel"/>
    <w:lvl w:ilvl="0">
      <w:lvlJc w:val="left"/>
      <w:lvlText w:val="(%1)"/>
      <w:numFmt w:val="lowerLetter"/>
      <w:start w:val="5"/>
    </w:lvl>
  </w:abstractNum>
  <w:abstractNum w:abstractNumId="8">
    <w:nsid w:val="42963E5A"/>
    <w:multiLevelType w:val="hybridMultilevel"/>
    <w:lvl w:ilvl="0">
      <w:lvlJc w:val="left"/>
      <w:lvlText w:val="(%1)"/>
      <w:numFmt w:val="lowerLetter"/>
      <w:start w:val="2"/>
    </w:lvl>
    <w:lvl w:ilvl="1">
      <w:lvlJc w:val="left"/>
      <w:lvlText w:val="(%2)"/>
      <w:numFmt w:val="lowerRoman"/>
      <w:start w:val="1"/>
    </w:lvl>
  </w:abstractNum>
  <w:abstractNum w:abstractNumId="9">
    <w:nsid w:val="A0382C5"/>
    <w:multiLevelType w:val="hybridMultilevel"/>
    <w:lvl w:ilvl="0">
      <w:lvlJc w:val="left"/>
      <w:lvlText w:val="(%1)"/>
      <w:numFmt w:val="lowerLetter"/>
      <w:start w:val="3"/>
    </w:lvl>
  </w:abstractNum>
  <w:abstractNum w:abstractNumId="10">
    <w:nsid w:val="8F2B15E"/>
    <w:multiLevelType w:val="hybridMultilevel"/>
    <w:lvl w:ilvl="0">
      <w:lvlJc w:val="left"/>
      <w:lvlText w:val="(%1)"/>
      <w:numFmt w:val="lowerRoman"/>
      <w:start w:val="1"/>
    </w:lvl>
  </w:abstractNum>
  <w:abstractNum w:abstractNumId="11">
    <w:nsid w:val="1A32234B"/>
    <w:multiLevelType w:val="hybridMultilevel"/>
    <w:lvl w:ilvl="0">
      <w:lvlJc w:val="left"/>
      <w:lvlText w:val="(%1)"/>
      <w:numFmt w:val="lowerLetter"/>
      <w:start w:val="2"/>
    </w:lvl>
  </w:abstractNum>
  <w:abstractNum w:abstractNumId="12">
    <w:nsid w:val="3B0FD379"/>
    <w:multiLevelType w:val="hybridMultilevel"/>
    <w:lvl w:ilvl="0">
      <w:lvlJc w:val="left"/>
      <w:lvlText w:val="(%1)"/>
      <w:numFmt w:val="lowerLetter"/>
      <w:start w:val="3"/>
    </w:lvl>
  </w:abstractNum>
  <w:abstractNum w:abstractNumId="13">
    <w:nsid w:val="68EB2F63"/>
    <w:multiLevelType w:val="hybridMultilevel"/>
    <w:lvl w:ilvl="0">
      <w:lvlJc w:val="left"/>
      <w:lvlText w:val="(%1)"/>
      <w:numFmt w:val="lowerLetter"/>
      <w:start w:val="2"/>
    </w:lvl>
  </w:abstractNum>
  <w:abstractNum w:abstractNumId="14">
    <w:nsid w:val="4962813B"/>
    <w:multiLevelType w:val="hybridMultilevel"/>
    <w:lvl w:ilvl="0">
      <w:lvlJc w:val="left"/>
      <w:lvlText w:val="(%1)"/>
      <w:numFmt w:val="lowerLetter"/>
      <w:start w:val="6"/>
    </w:lvl>
  </w:abstractNum>
  <w:abstractNum w:abstractNumId="15">
    <w:nsid w:val="60B6DF70"/>
    <w:multiLevelType w:val="hybridMultilevel"/>
    <w:lvl w:ilvl="0">
      <w:lvlJc w:val="left"/>
      <w:lvlText w:val="(%1)"/>
      <w:numFmt w:val="lowerLetter"/>
      <w:start w:val="1"/>
    </w:lvl>
  </w:abstractNum>
  <w:abstractNum w:abstractNumId="16">
    <w:nsid w:val="6A5EE64"/>
    <w:multiLevelType w:val="hybridMultilevel"/>
    <w:lvl w:ilvl="0">
      <w:lvlJc w:val="left"/>
      <w:lvlText w:val="(%1)"/>
      <w:numFmt w:val="lowerLetter"/>
      <w:start w:val="4"/>
    </w:lvl>
  </w:abstractNum>
  <w:abstractNum w:abstractNumId="17">
    <w:nsid w:val="14330624"/>
    <w:multiLevelType w:val="hybridMultilevel"/>
    <w:lvl w:ilvl="0">
      <w:lvlJc w:val="left"/>
      <w:lvlText w:val="(%1)"/>
      <w:numFmt w:val="lowerLetter"/>
      <w:start w:val="2"/>
    </w:lvl>
  </w:abstractNum>
  <w:abstractNum w:abstractNumId="18">
    <w:nsid w:val="7FFFCA11"/>
    <w:multiLevelType w:val="hybridMultilevel"/>
    <w:lvl w:ilvl="0">
      <w:lvlJc w:val="left"/>
      <w:lvlText w:val="(%1)"/>
      <w:numFmt w:val="lowerLetter"/>
      <w:start w:val="3"/>
    </w:lvl>
  </w:abstractNum>
  <w:abstractNum w:abstractNumId="19">
    <w:nsid w:val="1A27709E"/>
    <w:multiLevelType w:val="hybridMultilevel"/>
    <w:lvl w:ilvl="0">
      <w:lvlJc w:val="left"/>
      <w:lvlText w:val="(%1)"/>
      <w:numFmt w:val="lowerLetter"/>
      <w:start w:val="2"/>
    </w:lvl>
  </w:abstractNum>
  <w:abstractNum w:abstractNumId="20">
    <w:nsid w:val="71EA1109"/>
    <w:multiLevelType w:val="hybridMultilevel"/>
    <w:lvl w:ilvl="0">
      <w:lvlJc w:val="left"/>
      <w:lvlText w:val="(%1)"/>
      <w:numFmt w:val="lowerLetter"/>
      <w:start w:val="1"/>
    </w:lvl>
    <w:lvl w:ilvl="1">
      <w:lvlJc w:val="left"/>
      <w:lvlText w:val="(%2)"/>
      <w:numFmt w:val="lowerRoman"/>
      <w:start w:val="1"/>
    </w:lvl>
  </w:abstractNum>
  <w:abstractNum w:abstractNumId="21">
    <w:nsid w:val="100F59DC"/>
    <w:multiLevelType w:val="hybridMultilevel"/>
    <w:lvl w:ilvl="0">
      <w:lvlJc w:val="left"/>
      <w:lvlText w:val="(%1)"/>
      <w:numFmt w:val="lowerLetter"/>
      <w:start w:val="4"/>
    </w:lvl>
  </w:abstractNum>
  <w:abstractNum w:abstractNumId="22">
    <w:nsid w:val="7FB7E0AA"/>
    <w:multiLevelType w:val="hybridMultilevel"/>
    <w:lvl w:ilvl="0">
      <w:lvlJc w:val="left"/>
      <w:lvlText w:val="(%1)"/>
      <w:numFmt w:val="lowerLetter"/>
      <w:start w:val="1"/>
    </w:lvl>
  </w:abstractNum>
  <w:abstractNum w:abstractNumId="23">
    <w:nsid w:val="6EB5BD4"/>
    <w:multiLevelType w:val="hybridMultilevel"/>
    <w:lvl w:ilvl="0">
      <w:lvlJc w:val="left"/>
      <w:lvlText w:val="(%1)"/>
      <w:numFmt w:val="lowerLetter"/>
      <w:start w:val="2"/>
    </w:lvl>
  </w:abstractNum>
  <w:abstractNum w:abstractNumId="24">
    <w:nsid w:val="6F6DD9AC"/>
    <w:multiLevelType w:val="hybridMultilevel"/>
    <w:lvl w:ilvl="0">
      <w:lvlJc w:val="left"/>
      <w:lvlText w:val="(%1)"/>
      <w:numFmt w:val="lowerLetter"/>
      <w:start w:val="10"/>
    </w:lvl>
  </w:abstractNum>
  <w:abstractNum w:abstractNumId="25">
    <w:nsid w:val="94211F2"/>
    <w:multiLevelType w:val="hybridMultilevel"/>
    <w:lvl w:ilvl="0">
      <w:lvlJc w:val="left"/>
      <w:lvlText w:val="(%1)"/>
      <w:numFmt w:val="lowerLetter"/>
      <w:start w:val="2"/>
    </w:lvl>
    <w:lvl w:ilvl="1">
      <w:lvlJc w:val="left"/>
      <w:lvlText w:val="(%2)"/>
      <w:numFmt w:val="lowerRoman"/>
      <w:start w:val="1"/>
    </w:lvl>
  </w:abstractNum>
  <w:abstractNum w:abstractNumId="26">
    <w:nsid w:val="885E1B"/>
    <w:multiLevelType w:val="hybridMultilevel"/>
    <w:lvl w:ilvl="0">
      <w:lvlJc w:val="left"/>
      <w:lvlText w:val="(%1)"/>
      <w:numFmt w:val="lowerLetter"/>
      <w:start w:val="3"/>
    </w:lvl>
  </w:abstractNum>
  <w:abstractNum w:abstractNumId="27">
    <w:nsid w:val="76272110"/>
    <w:multiLevelType w:val="hybridMultilevel"/>
    <w:lvl w:ilvl="0">
      <w:lvlJc w:val="left"/>
      <w:lvlText w:val="(%1)"/>
      <w:numFmt w:val="lowerLetter"/>
      <w:start w:val="1"/>
    </w:lvl>
  </w:abstractNum>
  <w:abstractNum w:abstractNumId="28">
    <w:nsid w:val="4C04A8AF"/>
    <w:multiLevelType w:val="hybridMultilevel"/>
    <w:lvl w:ilvl="0">
      <w:lvlJc w:val="left"/>
      <w:lvlText w:val="(%1)"/>
      <w:numFmt w:val="lowerLetter"/>
      <w:start w:val="1"/>
    </w:lvl>
  </w:abstractNum>
  <w:abstractNum w:abstractNumId="29">
    <w:nsid w:val="1716703B"/>
    <w:multiLevelType w:val="hybridMultilevel"/>
    <w:lvl w:ilvl="0">
      <w:lvlJc w:val="left"/>
      <w:lvlText w:val="(%1)"/>
      <w:numFmt w:val="lowerLetter"/>
      <w:start w:val="5"/>
    </w:lvl>
  </w:abstractNum>
  <w:abstractNum w:abstractNumId="30">
    <w:nsid w:val="14E17E33"/>
    <w:multiLevelType w:val="hybridMultilevel"/>
    <w:lvl w:ilvl="0">
      <w:lvlJc w:val="left"/>
      <w:lvlText w:val="(%1)"/>
      <w:numFmt w:val="lowerLetter"/>
      <w:start w:val="1"/>
    </w:lvl>
  </w:abstractNum>
  <w:abstractNum w:abstractNumId="31">
    <w:nsid w:val="3222E7CD"/>
    <w:multiLevelType w:val="hybridMultilevel"/>
    <w:lvl w:ilvl="0">
      <w:lvlJc w:val="left"/>
      <w:lvlText w:val="(%1)"/>
      <w:numFmt w:val="lowerLetter"/>
      <w:start w:val="5"/>
    </w:lvl>
  </w:abstractNum>
  <w:abstractNum w:abstractNumId="32">
    <w:nsid w:val="74DE0EE3"/>
    <w:multiLevelType w:val="hybridMultilevel"/>
    <w:lvl w:ilvl="0">
      <w:lvlJc w:val="left"/>
      <w:lvlText w:val="(%1)"/>
      <w:numFmt w:val="lowerLetter"/>
      <w:start w:val="1"/>
    </w:lvl>
  </w:abstractNum>
  <w:abstractNum w:abstractNumId="33">
    <w:nsid w:val="68EBC550"/>
    <w:multiLevelType w:val="hybridMultilevel"/>
    <w:lvl w:ilvl="0">
      <w:lvlJc w:val="left"/>
      <w:lvlText w:val="(%1)"/>
      <w:numFmt w:val="lowerLetter"/>
      <w:start w:val="2"/>
    </w:lvl>
  </w:abstractNum>
  <w:abstractNum w:abstractNumId="34">
    <w:nsid w:val="2DF6D648"/>
    <w:multiLevelType w:val="hybridMultilevel"/>
    <w:lvl w:ilvl="0">
      <w:lvlJc w:val="left"/>
      <w:lvlText w:val="(%1)"/>
      <w:numFmt w:val="lowerRoman"/>
      <w:start w:val="2"/>
    </w:lvl>
    <w:lvl w:ilvl="1">
      <w:lvlJc w:val="left"/>
      <w:lvlText w:val="(%2)"/>
      <w:numFmt w:val="upperLetter"/>
      <w:start w:val="1"/>
    </w:lvl>
  </w:abstractNum>
  <w:abstractNum w:abstractNumId="35">
    <w:nsid w:val="46B7D447"/>
    <w:multiLevelType w:val="hybridMultilevel"/>
    <w:lvl w:ilvl="0">
      <w:lvlJc w:val="left"/>
      <w:lvlText w:val="(%1)"/>
      <w:numFmt w:val="lowerRoman"/>
      <w:start w:val="3"/>
    </w:lvl>
  </w:abstractNum>
  <w:abstractNum w:abstractNumId="36">
    <w:nsid w:val="4A2AC315"/>
    <w:multiLevelType w:val="hybridMultilevel"/>
    <w:lvl w:ilvl="0">
      <w:lvlJc w:val="left"/>
      <w:lvlText w:val="%1"/>
      <w:numFmt w:val="lowerLetter"/>
      <w:start w:val="1"/>
    </w:lvl>
    <w:lvl w:ilvl="1">
      <w:lvlJc w:val="left"/>
      <w:lvlText w:val="(%2)"/>
      <w:numFmt w:val="lowerLetter"/>
      <w:start w:val="22"/>
    </w:lvl>
  </w:abstractNum>
  <w:abstractNum w:abstractNumId="37">
    <w:nsid w:val="39EE015C"/>
    <w:multiLevelType w:val="hybridMultilevel"/>
    <w:lvl w:ilvl="0">
      <w:lvlJc w:val="left"/>
      <w:lvlText w:val="(%1)"/>
      <w:numFmt w:val="lowerLetter"/>
      <w:start w:val="3"/>
    </w:lvl>
    <w:lvl w:ilvl="1">
      <w:lvlJc w:val="left"/>
      <w:lvlText w:val="%2"/>
      <w:numFmt w:val="lowerLetter"/>
      <w:start w:val="1"/>
    </w:lvl>
  </w:abstractNum>
  <w:abstractNum w:abstractNumId="38">
    <w:nsid w:val="57FC4FBB"/>
    <w:multiLevelType w:val="hybridMultilevel"/>
    <w:lvl w:ilvl="0">
      <w:lvlJc w:val="left"/>
      <w:lvlText w:val="(%1)"/>
      <w:numFmt w:val="lowerLetter"/>
      <w:start w:val="1"/>
    </w:lvl>
  </w:abstractNum>
  <w:abstractNum w:abstractNumId="39">
    <w:nsid w:val="CC1016F"/>
    <w:multiLevelType w:val="hybridMultilevel"/>
    <w:lvl w:ilvl="0">
      <w:lvlJc w:val="left"/>
      <w:lvlText w:val="(%1)"/>
      <w:numFmt w:val="lowerRoman"/>
      <w:start w:val="1"/>
    </w:lvl>
  </w:abstractNum>
  <w:abstractNum w:abstractNumId="40">
    <w:nsid w:val="43F18422"/>
    <w:multiLevelType w:val="hybridMultilevel"/>
    <w:lvl w:ilvl="0">
      <w:lvlJc w:val="left"/>
      <w:lvlText w:val="(%1)"/>
      <w:numFmt w:val="lowerRoman"/>
      <w:start w:val="4"/>
    </w:lvl>
    <w:lvl w:ilvl="1">
      <w:lvlJc w:val="left"/>
      <w:lvlText w:val="(%2)"/>
      <w:numFmt w:val="upperLetter"/>
      <w:start w:val="1"/>
    </w:lvl>
  </w:abstractNum>
  <w:abstractNum w:abstractNumId="41">
    <w:nsid w:val="60EF0119"/>
    <w:multiLevelType w:val="hybridMultilevel"/>
    <w:lvl w:ilvl="0">
      <w:lvlJc w:val="left"/>
      <w:lvlText w:val="%1"/>
      <w:numFmt w:val="lowerLetter"/>
      <w:start w:val="1"/>
    </w:lvl>
    <w:lvl w:ilvl="1">
      <w:lvlJc w:val="left"/>
      <w:lvlText w:val="(%2)"/>
      <w:numFmt w:val="lowerLetter"/>
      <w:start w:val="2"/>
    </w:lvl>
  </w:abstractNum>
  <w:abstractNum w:abstractNumId="42">
    <w:nsid w:val="26F324BA"/>
    <w:multiLevelType w:val="hybridMultilevel"/>
    <w:lvl w:ilvl="0">
      <w:lvlJc w:val="left"/>
      <w:lvlText w:val="(%1)"/>
      <w:numFmt w:val="lowerLetter"/>
      <w:start w:val="35"/>
    </w:lvl>
    <w:lvl w:ilvl="1">
      <w:lvlJc w:val="left"/>
      <w:lvlText w:val="%2"/>
      <w:numFmt w:val="lowerLetter"/>
      <w:start w:val="1"/>
    </w:lvl>
  </w:abstractNum>
  <w:abstractNum w:abstractNumId="43">
    <w:nsid w:val="7F01579B"/>
    <w:multiLevelType w:val="hybridMultilevel"/>
    <w:lvl w:ilvl="0">
      <w:lvlJc w:val="left"/>
      <w:lvlText w:val="(%1)"/>
      <w:numFmt w:val="lowerLetter"/>
      <w:start w:val="3"/>
    </w:lvl>
  </w:abstractNum>
  <w:abstractNum w:abstractNumId="44">
    <w:nsid w:val="49DA307D"/>
    <w:multiLevelType w:val="hybridMultilevel"/>
    <w:lvl w:ilvl="0">
      <w:lvlJc w:val="left"/>
      <w:lvlText w:val="%1"/>
      <w:numFmt w:val="lowerLetter"/>
      <w:start w:val="1"/>
    </w:lvl>
    <w:lvl w:ilvl="1">
      <w:lvlJc w:val="left"/>
      <w:lvlText w:val="(%2)"/>
      <w:numFmt w:val="lowerLetter"/>
      <w:start w:val="4"/>
    </w:lvl>
  </w:abstractNum>
  <w:abstractNum w:abstractNumId="45">
    <w:nsid w:val="7055A5F5"/>
    <w:multiLevelType w:val="hybridMultilevel"/>
    <w:lvl w:ilvl="0">
      <w:lvlJc w:val="left"/>
      <w:lvlText w:val="(%1)"/>
      <w:numFmt w:val="lowerLetter"/>
      <w:start w:val="5"/>
    </w:lvl>
    <w:lvl w:ilvl="1">
      <w:lvlJc w:val="left"/>
      <w:lvlText w:val="%2"/>
      <w:numFmt w:val="lowerLetter"/>
      <w:start w:val="1"/>
    </w:lvl>
  </w:abstractNum>
  <w:abstractNum w:abstractNumId="46">
    <w:nsid w:val="5FB8370B"/>
    <w:multiLevelType w:val="hybridMultilevel"/>
    <w:lvl w:ilvl="0">
      <w:lvlJc w:val="left"/>
      <w:lvlText w:val="(%1)"/>
      <w:numFmt w:val="lowerLetter"/>
      <w:start w:val="9"/>
    </w:lvl>
  </w:abstractNum>
  <w:abstractNum w:abstractNumId="47">
    <w:nsid w:val="50801EE1"/>
    <w:multiLevelType w:val="hybridMultilevel"/>
    <w:lvl w:ilvl="0">
      <w:lvlJc w:val="left"/>
      <w:lvlText w:val="(%1)"/>
      <w:numFmt w:val="lowerLetter"/>
      <w:start w:val="2"/>
    </w:lvl>
  </w:abstractNum>
  <w:abstractNum w:abstractNumId="48">
    <w:nsid w:val="488AC1A"/>
    <w:multiLevelType w:val="hybridMultilevel"/>
    <w:lvl w:ilvl="0">
      <w:lvlJc w:val="left"/>
      <w:lvlText w:val="(%1)"/>
      <w:numFmt w:val="lowerLetter"/>
      <w:start w:val="5"/>
    </w:lvl>
  </w:abstractNum>
  <w:abstractNum w:abstractNumId="49">
    <w:nsid w:val="5FB8011C"/>
    <w:multiLevelType w:val="hybridMultilevel"/>
    <w:lvl w:ilvl="0">
      <w:lvlJc w:val="left"/>
      <w:lvlText w:val="(%1)"/>
      <w:numFmt w:val="lowerRoman"/>
      <w:start w:val="1"/>
    </w:lvl>
  </w:abstractNum>
  <w:abstractNum w:abstractNumId="50">
    <w:nsid w:val="6AA78F7F"/>
    <w:multiLevelType w:val="hybridMultilevel"/>
    <w:lvl w:ilvl="0">
      <w:lvlJc w:val="left"/>
      <w:lvlText w:val="(%1)"/>
      <w:numFmt w:val="lowerLetter"/>
      <w:start w:val="6"/>
    </w:lvl>
  </w:abstractNum>
  <w:abstractNum w:abstractNumId="51">
    <w:nsid w:val="7672BD23"/>
    <w:multiLevelType w:val="hybridMultilevel"/>
    <w:lvl w:ilvl="0">
      <w:lvlJc w:val="left"/>
      <w:lvlText w:val="(%1)"/>
      <w:numFmt w:val="lowerLetter"/>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1)"/>
      <w:numFmt w:val="lowerLetter"/>
      <w:start w:val="2"/>
    </w:lvl>
  </w:abstractNum>
  <w:abstractNum w:abstractNumId="54">
    <w:nsid w:val="7D5E18F8"/>
    <w:multiLevelType w:val="hybridMultilevel"/>
    <w:lvl w:ilvl="0">
      <w:lvlJc w:val="left"/>
      <w:lvlText w:val="X"/>
      <w:numFmt w:val="bullet"/>
      <w:start w:val="1"/>
    </w:lvl>
  </w:abstractNum>
  <w:abstractNum w:abstractNumId="55">
    <w:nsid w:val="5F3534A4"/>
    <w:multiLevelType w:val="hybridMultilevel"/>
    <w:lvl w:ilvl="0">
      <w:lvlJc w:val="left"/>
      <w:lvlText w:val="Y"/>
      <w:numFmt w:val="bullet"/>
      <w:start w:val="1"/>
    </w:lvl>
  </w:abstractNum>
  <w:abstractNum w:abstractNumId="56">
    <w:nsid w:val="73A1821B"/>
    <w:multiLevelType w:val="hybridMultilevel"/>
    <w:lvl w:ilvl="0">
      <w:lvlJc w:val="left"/>
      <w:lvlText w:val="(%1)"/>
      <w:numFmt w:val="lowerLetter"/>
      <w:start w:val="3"/>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1)"/>
      <w:numFmt w:val="upperLetter"/>
      <w:start w:val="1"/>
    </w:lvl>
  </w:abstractNum>
  <w:abstractNum w:abstractNumId="59">
    <w:nsid w:val="3FA62ACA"/>
    <w:multiLevelType w:val="hybridMultilevel"/>
    <w:lvl w:ilvl="0">
      <w:lvlJc w:val="left"/>
      <w:lvlText w:val="(%1)"/>
      <w:numFmt w:val="lowerLetter"/>
      <w:start w:val="4"/>
    </w:lvl>
  </w:abstractNum>
  <w:abstractNum w:abstractNumId="60">
    <w:nsid w:val="14FCE74E"/>
    <w:multiLevelType w:val="hybridMultilevel"/>
    <w:lvl w:ilvl="0">
      <w:lvlJc w:val="left"/>
      <w:lvlText w:val="C"/>
      <w:numFmt w:val="bullet"/>
      <w:start w:val="1"/>
    </w:lvl>
  </w:abstractNum>
  <w:abstractNum w:abstractNumId="61">
    <w:nsid w:val="6A3DD3E8"/>
    <w:multiLevelType w:val="hybridMultilevel"/>
    <w:lvl w:ilvl="0">
      <w:lvlJc w:val="left"/>
      <w:lvlText w:val="(%1)"/>
      <w:numFmt w:val="lowerLetter"/>
      <w:start w:val="5"/>
    </w:lvl>
  </w:abstractNum>
  <w:abstractNum w:abstractNumId="62">
    <w:nsid w:val="71C91298"/>
    <w:multiLevelType w:val="hybridMultilevel"/>
    <w:lvl w:ilvl="0">
      <w:lvlJc w:val="left"/>
      <w:lvlText w:val="(%1)"/>
      <w:numFmt w:val="lowerLetter"/>
      <w:start w:val="6"/>
    </w:lvl>
  </w:abstractNum>
  <w:abstractNum w:abstractNumId="63">
    <w:nsid w:val="9DAF632"/>
    <w:multiLevelType w:val="hybridMultilevel"/>
    <w:lvl w:ilvl="0">
      <w:lvlJc w:val="left"/>
      <w:lvlText w:val="(%1)"/>
      <w:numFmt w:val="lowerLetter"/>
      <w:start w:val="8"/>
    </w:lvl>
    <w:lvl w:ilvl="1">
      <w:lvlJc w:val="left"/>
      <w:lvlText w:val="(%2)"/>
      <w:numFmt w:val="lowerRoman"/>
      <w:start w:val="1"/>
    </w:lvl>
  </w:abstractNum>
  <w:abstractNum w:abstractNumId="64">
    <w:nsid w:val="53299938"/>
    <w:multiLevelType w:val="hybridMultilevel"/>
    <w:lvl w:ilvl="0">
      <w:lvlJc w:val="left"/>
      <w:lvlText w:val="(%1)"/>
      <w:numFmt w:val="lowerLetter"/>
      <w:start w:val="12"/>
    </w:lvl>
  </w:abstractNum>
  <w:abstractNum w:abstractNumId="65">
    <w:nsid w:val="1FBFE8E0"/>
    <w:multiLevelType w:val="hybridMultilevel"/>
    <w:lvl w:ilvl="0">
      <w:lvlJc w:val="left"/>
      <w:lvlText w:val="(%1)"/>
      <w:numFmt w:val="lowerLetter"/>
      <w:start w:val="1"/>
    </w:lvl>
    <w:lvl w:ilvl="1">
      <w:lvlJc w:val="left"/>
      <w:lvlText w:val="(%2)"/>
      <w:numFmt w:val="lowerRoman"/>
      <w:start w:val="1"/>
    </w:lvl>
  </w:abstractNum>
  <w:abstractNum w:abstractNumId="66">
    <w:nsid w:val="5092CA79"/>
    <w:multiLevelType w:val="hybridMultilevel"/>
    <w:lvl w:ilvl="0">
      <w:lvlJc w:val="left"/>
      <w:lvlText w:val="(%1)"/>
      <w:numFmt w:val="lowerLetter"/>
      <w:start w:val="2"/>
    </w:lvl>
  </w:abstractNum>
  <w:abstractNum w:abstractNumId="67">
    <w:nsid w:val="1D545C4D"/>
    <w:multiLevelType w:val="hybridMultilevel"/>
    <w:lvl w:ilvl="0">
      <w:lvlJc w:val="left"/>
      <w:lvlText w:val="(%1)"/>
      <w:numFmt w:val="lowerLetter"/>
      <w:start w:val="4"/>
    </w:lvl>
  </w:abstractNum>
  <w:abstractNum w:abstractNumId="68">
    <w:nsid w:val="59ADEA3D"/>
    <w:multiLevelType w:val="hybridMultilevel"/>
    <w:lvl w:ilvl="0">
      <w:lvlJc w:val="left"/>
      <w:lvlText w:val="(%1)"/>
      <w:numFmt w:val="lowerLetter"/>
      <w:start w:val="2"/>
    </w:lvl>
  </w:abstractNum>
  <w:abstractNum w:abstractNumId="69">
    <w:nsid w:val="288F1A34"/>
    <w:multiLevelType w:val="hybridMultilevel"/>
    <w:lvl w:ilvl="0">
      <w:lvlJc w:val="left"/>
      <w:lvlText w:val="(%1)"/>
      <w:numFmt w:val="lowerLetter"/>
      <w:start w:val="1"/>
    </w:lvl>
    <w:lvl w:ilvl="1">
      <w:lvlJc w:val="left"/>
      <w:lvlText w:val="(%2)"/>
      <w:numFmt w:val="lowerLetter"/>
      <w:start w:val="9"/>
    </w:lvl>
  </w:abstractNum>
  <w:abstractNum w:abstractNumId="70">
    <w:nsid w:val="2A155DBC"/>
    <w:multiLevelType w:val="hybridMultilevel"/>
    <w:lvl w:ilvl="0">
      <w:lvlJc w:val="left"/>
      <w:lvlText w:val="(%1)"/>
      <w:numFmt w:val="lowerRoman"/>
      <w:start w:val="2"/>
    </w:lvl>
  </w:abstractNum>
  <w:abstractNum w:abstractNumId="71">
    <w:nsid w:val="1D9F6E5F"/>
    <w:multiLevelType w:val="hybridMultilevel"/>
    <w:lvl w:ilvl="0">
      <w:lvlJc w:val="left"/>
      <w:lvlText w:val="(%1)"/>
      <w:numFmt w:val="lowerRoman"/>
      <w:start w:val="1"/>
    </w:lvl>
  </w:abstractNum>
  <w:abstractNum w:abstractNumId="72">
    <w:nsid w:val="97E1B4E"/>
    <w:multiLevelType w:val="hybridMultilevel"/>
    <w:lvl w:ilvl="0">
      <w:lvlJc w:val="left"/>
      <w:lvlText w:val="(%1)"/>
      <w:numFmt w:val="lowerLetter"/>
      <w:start w:val="3"/>
    </w:lvl>
    <w:lvl w:ilvl="1">
      <w:lvlJc w:val="left"/>
      <w:lvlText w:val="(%2)"/>
      <w:numFmt w:val="lowerLetter"/>
      <w:start w:val="9"/>
    </w:lvl>
  </w:abstractNum>
  <w:abstractNum w:abstractNumId="73">
    <w:nsid w:val="51088277"/>
    <w:multiLevelType w:val="hybridMultilevel"/>
    <w:lvl w:ilvl="0">
      <w:lvlJc w:val="left"/>
      <w:lvlText w:val="(%1)"/>
      <w:numFmt w:val="lowerRoman"/>
      <w:start w:val="2"/>
    </w:lvl>
  </w:abstractNum>
  <w:abstractNum w:abstractNumId="74">
    <w:nsid w:val="1CA0C5FA"/>
    <w:multiLevelType w:val="hybridMultilevel"/>
    <w:lvl w:ilvl="0">
      <w:lvlJc w:val="left"/>
      <w:lvlText w:val="(%1)"/>
      <w:numFmt w:val="lowerLetter"/>
      <w:start w:val="4"/>
    </w:lvl>
  </w:abstractNum>
  <w:abstractNum w:abstractNumId="75">
    <w:nsid w:val="53584BCB"/>
    <w:multiLevelType w:val="hybridMultilevel"/>
    <w:lvl w:ilvl="0">
      <w:lvlJc w:val="left"/>
      <w:lvlText w:val="(%1)"/>
      <w:numFmt w:val="lowerRoman"/>
      <w:start w:val="1"/>
    </w:lvl>
  </w:abstractNum>
  <w:abstractNum w:abstractNumId="76">
    <w:nsid w:val="415E286C"/>
    <w:multiLevelType w:val="hybridMultilevel"/>
    <w:lvl w:ilvl="0">
      <w:lvlJc w:val="left"/>
      <w:lvlText w:val="(%1)"/>
      <w:numFmt w:val="lowerLetter"/>
      <w:start w:val="2"/>
    </w:lvl>
  </w:abstractNum>
  <w:abstractNum w:abstractNumId="77">
    <w:nsid w:val="7C58FD05"/>
    <w:multiLevelType w:val="hybridMultilevel"/>
    <w:lvl w:ilvl="0">
      <w:lvlJc w:val="left"/>
      <w:lvlText w:val="(%1)"/>
      <w:numFmt w:val="lowerLetter"/>
      <w:start w:val="3"/>
    </w:lvl>
  </w:abstractNum>
  <w:abstractNum w:abstractNumId="78">
    <w:nsid w:val="23D86AAC"/>
    <w:multiLevelType w:val="hybridMultilevel"/>
    <w:lvl w:ilvl="0">
      <w:lvlJc w:val="left"/>
      <w:lvlText w:val="(%1)"/>
      <w:numFmt w:val="lowerLetter"/>
      <w:start w:val="1"/>
    </w:lvl>
  </w:abstractNum>
  <w:abstractNum w:abstractNumId="79">
    <w:nsid w:val="45E6D486"/>
    <w:multiLevelType w:val="hybridMultilevel"/>
    <w:lvl w:ilvl="0">
      <w:lvlJc w:val="left"/>
      <w:lvlText w:val="(%1)"/>
      <w:numFmt w:val="lowerLetter"/>
      <w:start w:val="2"/>
    </w:lvl>
    <w:lvl w:ilvl="1">
      <w:lvlJc w:val="left"/>
      <w:lvlText w:val="(%2)"/>
      <w:numFmt w:val="lowerRoman"/>
      <w:start w:val="1"/>
    </w:lvl>
  </w:abstractNum>
  <w:abstractNum w:abstractNumId="80">
    <w:nsid w:val="5C10FE21"/>
    <w:multiLevelType w:val="hybridMultilevel"/>
    <w:lvl w:ilvl="0">
      <w:lvlJc w:val="left"/>
      <w:lvlText w:val="(%1)"/>
      <w:numFmt w:val="lowerRoman"/>
      <w:start w:val="9"/>
    </w:lvl>
  </w:abstractNum>
  <w:abstractNum w:abstractNumId="81">
    <w:nsid w:val="E7FFA2B"/>
    <w:multiLevelType w:val="hybridMultilevel"/>
    <w:lvl w:ilvl="0">
      <w:lvlJc w:val="left"/>
      <w:lvlText w:val="(%1)"/>
      <w:numFmt w:val="lowerLetter"/>
      <w:start w:val="4"/>
    </w:lvl>
  </w:abstractNum>
  <w:abstractNum w:abstractNumId="82">
    <w:nsid w:val="3C5991AA"/>
    <w:multiLevelType w:val="hybridMultilevel"/>
    <w:lvl w:ilvl="0">
      <w:lvlJc w:val="left"/>
      <w:lvlText w:val="(%1)"/>
      <w:numFmt w:val="lowerLetter"/>
      <w:start w:val="2"/>
    </w:lvl>
    <w:lvl w:ilvl="1">
      <w:lvlJc w:val="left"/>
      <w:lvlText w:val="(%2)"/>
      <w:numFmt w:val="lowerRoman"/>
      <w:start w:val="1"/>
    </w:lvl>
  </w:abstractNum>
  <w:abstractNum w:abstractNumId="83">
    <w:nsid w:val="4BD8591A"/>
    <w:multiLevelType w:val="hybridMultilevel"/>
    <w:lvl w:ilvl="0">
      <w:lvlJc w:val="left"/>
      <w:lvlText w:val="(%1)"/>
      <w:numFmt w:val="lowerLetter"/>
      <w:start w:val="4"/>
    </w:lvl>
  </w:abstractNum>
  <w:abstractNum w:abstractNumId="84">
    <w:nsid w:val="78DF6A55"/>
    <w:multiLevelType w:val="hybridMultilevel"/>
    <w:lvl w:ilvl="0">
      <w:lvlJc w:val="left"/>
      <w:lvlText w:val="(%1)"/>
      <w:numFmt w:val="lowerLetter"/>
      <w:start w:val="2"/>
    </w:lvl>
  </w:abstractNum>
  <w:abstractNum w:abstractNumId="85">
    <w:nsid w:val="39B7AAA2"/>
    <w:multiLevelType w:val="hybridMultilevel"/>
    <w:lvl w:ilvl="0">
      <w:lvlJc w:val="left"/>
      <w:lvlText w:val="(%1)"/>
      <w:numFmt w:val="lowerLetter"/>
      <w:start w:val="1"/>
    </w:lvl>
  </w:abstractNum>
  <w:abstractNum w:abstractNumId="86">
    <w:nsid w:val="2B0D8DBE"/>
    <w:multiLevelType w:val="hybridMultilevel"/>
    <w:lvl w:ilvl="0">
      <w:lvlJc w:val="left"/>
      <w:lvlText w:val="(%1)"/>
      <w:numFmt w:val="lowerLetter"/>
      <w:start w:val="2"/>
    </w:lvl>
  </w:abstractNum>
  <w:abstractNum w:abstractNumId="87">
    <w:nsid w:val="6C80EC70"/>
    <w:multiLevelType w:val="hybridMultilevel"/>
    <w:lvl w:ilvl="0">
      <w:lvlJc w:val="left"/>
      <w:lvlText w:val="(%1)"/>
      <w:numFmt w:val="lowerLetter"/>
      <w:start w:val="1"/>
    </w:lvl>
    <w:lvl w:ilvl="1">
      <w:lvlJc w:val="left"/>
      <w:lvlText w:val="(%2)"/>
      <w:numFmt w:val="lowerLetter"/>
      <w:start w:val="9"/>
    </w:lvl>
  </w:abstractNum>
  <w:abstractNum w:abstractNumId="88">
    <w:nsid w:val="379E21B5"/>
    <w:multiLevelType w:val="hybridMultilevel"/>
    <w:lvl w:ilvl="0">
      <w:lvlJc w:val="left"/>
      <w:lvlText w:val="1"/>
      <w:numFmt w:val="bullet"/>
      <w:start w:val="1"/>
    </w:lvl>
  </w:abstractNum>
  <w:abstractNum w:abstractNumId="89">
    <w:nsid w:val="69E373"/>
    <w:multiLevelType w:val="hybridMultilevel"/>
    <w:lvl w:ilvl="0">
      <w:lvlJc w:val="left"/>
      <w:lvlText w:val="(%1)"/>
      <w:numFmt w:val="lowerRoman"/>
      <w:start w:val="2"/>
    </w:lvl>
    <w:lvl w:ilvl="1">
      <w:lvlJc w:val="left"/>
      <w:lvlText w:val="(%2)"/>
      <w:numFmt w:val="upperLetter"/>
      <w:start w:val="1"/>
    </w:lvl>
  </w:abstractNum>
  <w:abstractNum w:abstractNumId="90">
    <w:nsid w:val="2C2717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1">
    <w:nsid w:val="4C9B0904"/>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2">
    <w:nsid w:val="6AA7B75C"/>
    <w:multiLevelType w:val="hybridMultilevel"/>
    <w:lvl w:ilvl="0">
      <w:lvlJc w:val="left"/>
      <w:lvlText w:val="(%1)"/>
      <w:numFmt w:val="lowerLetter"/>
      <w:start w:val="1"/>
    </w:lvl>
    <w:lvl w:ilvl="1">
      <w:lvlJc w:val="left"/>
      <w:lvlText w:val="(%2)"/>
      <w:numFmt w:val="lowerRoman"/>
      <w:start w:val="1"/>
    </w:lvl>
  </w:abstractNum>
  <w:abstractNum w:abstractNumId="93">
    <w:nsid w:val="1DF029D3"/>
    <w:multiLevelType w:val="hybridMultilevel"/>
    <w:lvl w:ilvl="0">
      <w:lvlJc w:val="left"/>
      <w:lvlText w:val="2"/>
      <w:numFmt w:val="bullet"/>
      <w:start w:val="1"/>
    </w:lvl>
  </w:abstractNum>
  <w:abstractNum w:abstractNumId="94">
    <w:nsid w:val="5675FF36"/>
    <w:multiLevelType w:val="hybridMultilevel"/>
    <w:lvl w:ilvl="0">
      <w:lvlJc w:val="left"/>
      <w:lvlText w:val="%1"/>
      <w:numFmt w:val="lowerLetter"/>
      <w:start w:val="1"/>
    </w:lvl>
    <w:lvl w:ilvl="1">
      <w:lvlJc w:val="left"/>
      <w:lvlText w:val="(%2)"/>
      <w:numFmt w:val="lowerLetter"/>
      <w:start w:val="61"/>
    </w:lvl>
  </w:abstractNum>
  <w:abstractNum w:abstractNumId="95">
    <w:nsid w:val="3DD15094"/>
    <w:multiLevelType w:val="hybridMultilevel"/>
    <w:lvl w:ilvl="0">
      <w:lvlJc w:val="left"/>
      <w:lvlText w:val="(%1)"/>
      <w:numFmt w:val="lowerLetter"/>
      <w:start w:val="2"/>
    </w:lvl>
    <w:lvl w:ilvl="1">
      <w:lvlJc w:val="left"/>
      <w:lvlText w:val="(%2)"/>
      <w:numFmt w:val="lowerLetter"/>
      <w:start w:val="9"/>
    </w:lvl>
  </w:abstractNum>
  <w:abstractNum w:abstractNumId="96">
    <w:nsid w:val="3DB012B3"/>
    <w:multiLevelType w:val="hybridMultilevel"/>
    <w:lvl w:ilvl="0">
      <w:lvlJc w:val="left"/>
      <w:lvlText w:val="3"/>
      <w:numFmt w:val="bullet"/>
      <w:start w:val="1"/>
    </w:lvl>
  </w:abstractNum>
  <w:abstractNum w:abstractNumId="97">
    <w:nsid w:val="2708C9AF"/>
    <w:multiLevelType w:val="hybridMultilevel"/>
    <w:lvl w:ilvl="0">
      <w:lvlJc w:val="left"/>
      <w:lvlText w:val="4"/>
      <w:numFmt w:val="bullet"/>
      <w:start w:val="1"/>
    </w:lvl>
  </w:abstractNum>
  <w:abstractNum w:abstractNumId="98">
    <w:nsid w:val="5B25ACE2"/>
    <w:multiLevelType w:val="hybridMultilevel"/>
    <w:lvl w:ilvl="0">
      <w:lvlJc w:val="left"/>
      <w:lvlText w:val="5"/>
      <w:numFmt w:val="bullet"/>
      <w:start w:val="1"/>
    </w:lvl>
  </w:abstractNum>
  <w:abstractNum w:abstractNumId="99">
    <w:nsid w:val="175DFCF0"/>
    <w:multiLevelType w:val="hybridMultilevel"/>
    <w:lvl w:ilvl="0">
      <w:lvlJc w:val="left"/>
      <w:lvlText w:val="6"/>
      <w:numFmt w:val="bullet"/>
      <w:start w:val="1"/>
    </w:lvl>
  </w:abstractNum>
  <w:abstractNum w:abstractNumId="100">
    <w:nsid w:val="4F97E3E4"/>
    <w:multiLevelType w:val="hybridMultilevel"/>
    <w:lvl w:ilvl="0">
      <w:lvlJc w:val="left"/>
      <w:lvlText w:val="7"/>
      <w:numFmt w:val="bullet"/>
      <w:start w:val="1"/>
    </w:lvl>
  </w:abstractNum>
  <w:abstractNum w:abstractNumId="101">
    <w:nsid w:val="53B0A9E"/>
    <w:multiLevelType w:val="hybridMultilevel"/>
    <w:lvl w:ilvl="0">
      <w:lvlJc w:val="left"/>
      <w:lvlText w:val="8"/>
      <w:numFmt w:val="bullet"/>
      <w:start w:val="1"/>
    </w:lvl>
  </w:abstractNum>
  <w:abstractNum w:abstractNumId="102">
    <w:nsid w:val="34FD6B4F"/>
    <w:multiLevelType w:val="hybridMultilevel"/>
    <w:lvl w:ilvl="0">
      <w:lvlJc w:val="left"/>
      <w:lvlText w:val="9"/>
      <w:numFmt w:val="bullet"/>
      <w:start w:val="1"/>
    </w:lvl>
  </w:abstractNum>
  <w:abstractNum w:abstractNumId="103">
    <w:nsid w:val="5915FF32"/>
    <w:multiLevelType w:val="hybridMultilevel"/>
    <w:lvl w:ilvl="0">
      <w:lvlJc w:val="left"/>
      <w:lvlText w:val="%1."/>
      <w:numFmt w:val="decimal"/>
      <w:start w:val="1"/>
    </w:lvl>
  </w:abstractNum>
  <w:abstractNum w:abstractNumId="104">
    <w:nsid w:val="56438D15"/>
    <w:multiLevelType w:val="hybridMultilevel"/>
    <w:lvl w:ilvl="0">
      <w:lvlJc w:val="left"/>
      <w:lvlText w:val="1"/>
      <w:numFmt w:val="bullet"/>
      <w:start w:val="1"/>
    </w:lvl>
  </w:abstractNum>
  <w:abstractNum w:abstractNumId="105">
    <w:nsid w:val="519E3149"/>
    <w:multiLevelType w:val="hybridMultilevel"/>
    <w:lvl w:ilvl="0">
      <w:lvlJc w:val="left"/>
      <w:lvlText w:val="2"/>
      <w:numFmt w:val="bullet"/>
      <w:start w:val="1"/>
    </w:lvl>
  </w:abstractNum>
  <w:abstractNum w:abstractNumId="106">
    <w:nsid w:val="2C6E4AFD"/>
    <w:multiLevelType w:val="hybridMultilevel"/>
    <w:lvl w:ilvl="0">
      <w:lvlJc w:val="left"/>
      <w:lvlText w:val="3"/>
      <w:numFmt w:val="bullet"/>
      <w:start w:val="1"/>
    </w:lvl>
  </w:abstractNum>
  <w:abstractNum w:abstractNumId="107">
    <w:nsid w:val="17A1B582"/>
    <w:multiLevelType w:val="hybridMultilevel"/>
    <w:lvl w:ilvl="0">
      <w:lvlJc w:val="left"/>
      <w:lvlText w:val="4"/>
      <w:numFmt w:val="bullet"/>
      <w:start w:val="1"/>
    </w:lvl>
  </w:abstractNum>
  <w:abstractNum w:abstractNumId="108">
    <w:nsid w:val="4DF72E4E"/>
    <w:multiLevelType w:val="hybridMultilevel"/>
    <w:lvl w:ilvl="0">
      <w:lvlJc w:val="left"/>
      <w:lvlText w:val="5"/>
      <w:numFmt w:val="bullet"/>
      <w:start w:val="1"/>
    </w:lvl>
  </w:abstractNum>
  <w:abstractNum w:abstractNumId="109">
    <w:nsid w:val="5046B5A9"/>
    <w:multiLevelType w:val="hybridMultilevel"/>
    <w:lvl w:ilvl="0">
      <w:lvlJc w:val="left"/>
      <w:lvlText w:val="6"/>
      <w:numFmt w:val="bullet"/>
      <w:start w:val="1"/>
    </w:lvl>
  </w:abstractNum>
  <w:abstractNum w:abstractNumId="110">
    <w:nsid w:val="5D888A08"/>
    <w:multiLevelType w:val="hybridMultilevel"/>
    <w:lvl w:ilvl="0">
      <w:lvlJc w:val="left"/>
      <w:lvlText w:val="7"/>
      <w:numFmt w:val="bullet"/>
      <w:start w:val="1"/>
    </w:lvl>
  </w:abstractNum>
  <w:abstractNum w:abstractNumId="111">
    <w:nsid w:val="2A082C70"/>
    <w:multiLevelType w:val="hybridMultilevel"/>
    <w:lvl w:ilvl="0">
      <w:lvlJc w:val="left"/>
      <w:lvlText w:val="%1."/>
      <w:numFmt w:val="decimal"/>
      <w:start w:val="1"/>
    </w:lvl>
  </w:abstractNum>
  <w:abstractNum w:abstractNumId="112">
    <w:nsid w:val="5EC6AFD4"/>
    <w:multiLevelType w:val="hybridMultilevel"/>
    <w:lvl w:ilvl="0">
      <w:lvlJc w:val="left"/>
      <w:lvlText w:val="8"/>
      <w:numFmt w:val="bullet"/>
      <w:start w:val="1"/>
    </w:lvl>
  </w:abstractNum>
  <w:abstractNum w:abstractNumId="113">
    <w:nsid w:val="19E21BB2"/>
    <w:multiLevelType w:val="hybridMultilevel"/>
    <w:lvl w:ilvl="0">
      <w:lvlJc w:val="left"/>
      <w:lvlText w:val="9"/>
      <w:numFmt w:val="bullet"/>
      <w:start w:val="1"/>
    </w:lvl>
  </w:abstractNum>
  <w:abstractNum w:abstractNumId="114">
    <w:nsid w:val="75E0858A"/>
    <w:multiLevelType w:val="hybridMultilevel"/>
    <w:lvl w:ilvl="0">
      <w:lvlJc w:val="left"/>
      <w:lvlText w:val="%1"/>
      <w:numFmt w:val="decimal"/>
      <w:start w:val="10"/>
    </w:lvl>
  </w:abstractNum>
  <w:abstractNum w:abstractNumId="115">
    <w:nsid w:val="57A61A29"/>
    <w:multiLevelType w:val="hybridMultilevel"/>
    <w:lvl w:ilvl="0">
      <w:lvlJc w:val="left"/>
      <w:lvlText w:val="%1."/>
      <w:numFmt w:val="decimal"/>
      <w:start w:val="3"/>
    </w:lvl>
  </w:abstractNum>
  <w:abstractNum w:abstractNumId="116">
    <w:nsid w:val="5399C654"/>
    <w:multiLevelType w:val="hybridMultilevel"/>
    <w:lvl w:ilvl="0">
      <w:lvlJc w:val="left"/>
      <w:lvlText w:val="%1"/>
      <w:numFmt w:val="decimal"/>
      <w:start w:val="13"/>
    </w:lvl>
  </w:abstractNum>
  <w:abstractNum w:abstractNumId="117">
    <w:nsid w:val="20EE1348"/>
    <w:multiLevelType w:val="hybridMultilevel"/>
    <w:lvl w:ilvl="0">
      <w:lvlJc w:val="left"/>
      <w:lvlText w:val="(%1)"/>
      <w:numFmt w:val="lowerRoman"/>
      <w:start w:val="2"/>
    </w:lvl>
  </w:abstractNum>
  <w:abstractNum w:abstractNumId="118">
    <w:nsid w:val="4427069A"/>
    <w:multiLevelType w:val="hybridMultilevel"/>
    <w:lvl w:ilvl="0">
      <w:lvlJc w:val="left"/>
      <w:lvlText w:val="%1"/>
      <w:numFmt w:val="decimal"/>
      <w:start w:val="17"/>
    </w:lvl>
  </w:abstractNum>
  <w:abstractNum w:abstractNumId="119">
    <w:nsid w:val="B37E80A"/>
    <w:multiLevelType w:val="hybridMultilevel"/>
    <w:lvl w:ilvl="0">
      <w:lvlJc w:val="left"/>
      <w:lvlText w:val="%1"/>
      <w:numFmt w:val="decimal"/>
      <w:start w:val="21"/>
    </w:lvl>
  </w:abstractNum>
  <w:abstractNum w:abstractNumId="120">
    <w:nsid w:val="2157F6BC"/>
    <w:multiLevelType w:val="hybridMultilevel"/>
    <w:lvl w:ilvl="0">
      <w:lvlJc w:val="left"/>
      <w:lvlText w:val="%1."/>
      <w:numFmt w:val="decimal"/>
      <w:start w:val="5"/>
    </w:lvl>
    <w:lvl w:ilvl="1">
      <w:lvlJc w:val="left"/>
      <w:lvlText w:val="(%2)"/>
      <w:numFmt w:val="lowerLetter"/>
      <w:start w:val="1"/>
    </w:lvl>
  </w:abstractNum>
  <w:abstractNum w:abstractNumId="121">
    <w:nsid w:val="704E1DD5"/>
    <w:multiLevelType w:val="hybridMultilevel"/>
    <w:lvl w:ilvl="0">
      <w:lvlJc w:val="left"/>
      <w:lvlText w:val="(%1)"/>
      <w:numFmt w:val="lowerLetter"/>
      <w:start w:val="1"/>
    </w:lvl>
  </w:abstractNum>
  <w:abstractNum w:abstractNumId="122">
    <w:nsid w:val="57D2F10E"/>
    <w:multiLevelType w:val="hybridMultilevel"/>
    <w:lvl w:ilvl="0">
      <w:lvlJc w:val="left"/>
      <w:lvlText w:val="%1"/>
      <w:numFmt w:val="decimal"/>
      <w:start w:val="25"/>
    </w:lvl>
  </w:abstractNum>
  <w:abstractNum w:abstractNumId="123">
    <w:nsid w:val="BFFAE18"/>
    <w:multiLevelType w:val="hybridMultilevel"/>
    <w:lvl w:ilvl="0">
      <w:lvlJc w:val="left"/>
      <w:lvlText w:val="(%1)"/>
      <w:numFmt w:val="lowerLetter"/>
      <w:start w:val="3"/>
    </w:lvl>
  </w:abstractNum>
  <w:abstractNum w:abstractNumId="124">
    <w:nsid w:val="E3E47A8"/>
    <w:multiLevelType w:val="hybridMultilevel"/>
    <w:lvl w:ilvl="0">
      <w:lvlJc w:val="left"/>
      <w:lvlText w:val="%1."/>
      <w:numFmt w:val="decimal"/>
      <w:start w:val="9"/>
    </w:lvl>
    <w:lvl w:ilvl="1">
      <w:lvlJc w:val="left"/>
      <w:lvlText w:val="(%2)"/>
      <w:numFmt w:val="lowerLetter"/>
      <w:start w:val="1"/>
    </w:lvl>
  </w:abstractNum>
  <w:abstractNum w:abstractNumId="125">
    <w:nsid w:val="2E48F044"/>
    <w:multiLevelType w:val="hybridMultilevel"/>
    <w:lvl w:ilvl="0">
      <w:lvlJc w:val="left"/>
      <w:lvlText w:val="%1"/>
      <w:numFmt w:val="decimal"/>
      <w:start w:val="26"/>
    </w:lvl>
  </w:abstractNum>
  <w:abstractNum w:abstractNumId="126">
    <w:nsid w:val="49D0FEA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7">
    <w:nsid w:val="4BEE5A5B"/>
    <w:multiLevelType w:val="hybridMultilevel"/>
    <w:lvl w:ilvl="0">
      <w:lvlJc w:val="left"/>
      <w:lvlText w:val="(%1)"/>
      <w:numFmt w:val="lowerRoman"/>
      <w:start w:val="2"/>
    </w:lvl>
  </w:abstractNum>
  <w:abstractNum w:abstractNumId="128">
    <w:nsid w:val="5551B9F3"/>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lvl w:ilvl="3">
      <w:lvlJc w:val="left"/>
      <w:lvlText w:val="%4"/>
      <w:numFmt w:val="upperLetter"/>
      <w:start w:val="1"/>
    </w:lvl>
  </w:abstractNum>
  <w:abstractNum w:abstractNumId="129">
    <w:nsid w:val="24F6AB8E"/>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30">
    <w:nsid w:val="634C574C"/>
    <w:multiLevelType w:val="hybridMultilevel"/>
    <w:lvl w:ilvl="0">
      <w:lvlJc w:val="left"/>
      <w:lvlText w:val="%1"/>
      <w:numFmt w:val="decimal"/>
      <w:start w:val="28"/>
    </w:lvl>
  </w:abstractNum>
  <w:abstractNum w:abstractNumId="131">
    <w:nsid w:val="24E99DD7"/>
    <w:multiLevelType w:val="hybridMultilevel"/>
    <w:lvl w:ilvl="0">
      <w:lvlJc w:val="left"/>
      <w:lvlText w:val="%1"/>
      <w:numFmt w:val="lowerLetter"/>
      <w:start w:val="1"/>
    </w:lvl>
    <w:lvl w:ilvl="1">
      <w:lvlJc w:val="left"/>
      <w:lvlText w:val="(%2)"/>
      <w:numFmt w:val="lowerRoman"/>
      <w:start w:val="2"/>
    </w:lvl>
  </w:abstractNum>
  <w:abstractNum w:abstractNumId="132">
    <w:nsid w:val="2A31B62D"/>
    <w:multiLevelType w:val="hybridMultilevel"/>
    <w:lvl w:ilvl="0">
      <w:lvlJc w:val="left"/>
      <w:lvlText w:val="(%1)"/>
      <w:numFmt w:val="lowerLetter"/>
      <w:start w:val="8"/>
    </w:lvl>
    <w:lvl w:ilvl="1">
      <w:lvlJc w:val="left"/>
      <w:lvlText w:val="(%2)"/>
      <w:numFmt w:val="lowerRoman"/>
      <w:start w:val="1"/>
    </w:lvl>
  </w:abstractNum>
  <w:abstractNum w:abstractNumId="133">
    <w:nsid w:val="1849C29B"/>
    <w:multiLevelType w:val="hybridMultilevel"/>
    <w:lvl w:ilvl="0">
      <w:lvlJc w:val="left"/>
      <w:lvlText w:val="%1"/>
      <w:numFmt w:val="decimal"/>
      <w:start w:val="29"/>
    </w:lvl>
  </w:abstractNum>
  <w:abstractNum w:abstractNumId="134">
    <w:nsid w:val="7DFF9D09"/>
    <w:multiLevelType w:val="hybridMultilevel"/>
    <w:lvl w:ilvl="0">
      <w:lvlJc w:val="left"/>
      <w:lvlText w:val="(%1)"/>
      <w:numFmt w:val="lowerLetter"/>
      <w:start w:val="9"/>
    </w:lvl>
  </w:abstractNum>
  <w:abstractNum w:abstractNumId="135">
    <w:nsid w:val="754342"/>
    <w:multiLevelType w:val="hybridMultilevel"/>
    <w:lvl w:ilvl="0">
      <w:lvlJc w:val="left"/>
      <w:lvlText w:val="(%1)"/>
      <w:numFmt w:val="lowerLetter"/>
      <w:start w:val="15"/>
    </w:lvl>
    <w:lvl w:ilvl="1">
      <w:lvlJc w:val="left"/>
      <w:lvlText w:val="(%2)"/>
      <w:numFmt w:val="lowerRoman"/>
      <w:start w:val="1"/>
    </w:lvl>
  </w:abstractNum>
  <w:abstractNum w:abstractNumId="136">
    <w:nsid w:val="69E7F3E5"/>
    <w:multiLevelType w:val="hybridMultilevel"/>
    <w:lvl w:ilvl="0">
      <w:lvlJc w:val="left"/>
      <w:lvlText w:val="%1"/>
      <w:numFmt w:val="decimal"/>
      <w:start w:val="31"/>
    </w:lvl>
  </w:abstractNum>
  <w:abstractNum w:abstractNumId="137">
    <w:nsid w:val="2A6DE806"/>
    <w:multiLevelType w:val="hybridMultilevel"/>
    <w:lvl w:ilvl="0">
      <w:lvlJc w:val="left"/>
      <w:lvlText w:val="(%1)"/>
      <w:numFmt w:val="lowerLetter"/>
      <w:start w:val="18"/>
    </w:lvl>
  </w:abstractNum>
  <w:abstractNum w:abstractNumId="138">
    <w:nsid w:val="1816F8C4"/>
    <w:multiLevelType w:val="hybridMultilevel"/>
    <w:lvl w:ilvl="0">
      <w:lvlJc w:val="left"/>
      <w:lvlText w:val="%1"/>
      <w:numFmt w:val="decimal"/>
      <w:start w:val="37"/>
    </w:lvl>
  </w:abstractNum>
  <w:abstractNum w:abstractNumId="139">
    <w:nsid w:val="37DF2233"/>
    <w:multiLevelType w:val="hybridMultilevel"/>
    <w:lvl w:ilvl="0">
      <w:lvlJc w:val="left"/>
      <w:lvlText w:val="(%1)"/>
      <w:numFmt w:val="lowerLetter"/>
      <w:start w:val="23"/>
    </w:lvl>
    <w:lvl w:ilvl="1">
      <w:lvlJc w:val="left"/>
      <w:lvlText w:val="(%2)"/>
      <w:numFmt w:val="lowerRoman"/>
      <w:start w:val="1"/>
    </w:lvl>
  </w:abstractNum>
  <w:abstractNum w:abstractNumId="140">
    <w:nsid w:val="7AB49DAF"/>
    <w:multiLevelType w:val="hybridMultilevel"/>
    <w:lvl w:ilvl="0">
      <w:lvlJc w:val="left"/>
      <w:lvlText w:val="%1"/>
      <w:numFmt w:val="decimal"/>
      <w:start w:val="39"/>
    </w:lvl>
  </w:abstractNum>
  <w:abstractNum w:abstractNumId="141">
    <w:nsid w:val="759F82CD"/>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42">
    <w:nsid w:val="61E74EA3"/>
    <w:multiLevelType w:val="hybridMultilevel"/>
    <w:lvl w:ilvl="0">
      <w:lvlJc w:val="left"/>
      <w:lvlText w:val="(%1)"/>
      <w:numFmt w:val="lowerLetter"/>
      <w:start w:val="24"/>
    </w:lvl>
    <w:lvl w:ilvl="1">
      <w:lvlJc w:val="left"/>
      <w:lvlText w:val="(%2)"/>
      <w:numFmt w:val="lowerLetter"/>
      <w:start w:val="2"/>
    </w:lvl>
    <w:lvl w:ilvl="2">
      <w:lvlJc w:val="left"/>
      <w:lvlText w:val="%3"/>
      <w:numFmt w:val="upperLetter"/>
      <w:start w:val="1"/>
    </w:lvl>
  </w:abstractNum>
  <w:abstractNum w:abstractNumId="143">
    <w:nsid w:val="597B4D84"/>
    <w:multiLevelType w:val="hybridMultilevel"/>
    <w:lvl w:ilvl="0">
      <w:lvlJc w:val="left"/>
      <w:lvlText w:val="(%1)"/>
      <w:numFmt w:val="lowerLetter"/>
      <w:start w:val="25"/>
    </w:lvl>
  </w:abstractNum>
  <w:abstractNum w:abstractNumId="144">
    <w:nsid w:val="F819E7F"/>
    <w:multiLevelType w:val="hybridMultilevel"/>
    <w:lvl w:ilvl="0">
      <w:lvlJc w:val="left"/>
      <w:lvlText w:val="(%1)"/>
      <w:numFmt w:val="lowerLetter"/>
      <w:start w:val="27"/>
    </w:lvl>
  </w:abstractNum>
  <w:abstractNum w:abstractNumId="145">
    <w:nsid w:val="57C7D42D"/>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2025-10-23T05:17:47Z</dcterms:created>
  <dcterms:modified xsi:type="dcterms:W3CDTF">2025-10-23T05:17:47Z</dcterms:modified>
</cp:coreProperties>
</file>