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8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0" w:lineRule="exact"/>
        <w:rPr>
          <w:sz w:val="24"/>
          <w:szCs w:val="24"/>
          <w:color w:val="auto"/>
        </w:rPr>
      </w:pPr>
    </w:p>
    <w:p>
      <w:pPr>
        <w:spacing w:after="0" w:line="348"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OR 15d-16</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For the month of February 2025</w:t>
      </w:r>
    </w:p>
    <w:p>
      <w:pPr>
        <w:spacing w:after="0" w:line="200" w:lineRule="exact"/>
        <w:rPr>
          <w:sz w:val="24"/>
          <w:szCs w:val="24"/>
          <w:color w:val="auto"/>
        </w:rPr>
      </w:pPr>
    </w:p>
    <w:p>
      <w:pPr>
        <w:spacing w:after="0" w:line="33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0" w:lineRule="exact"/>
        <w:rPr>
          <w:sz w:val="24"/>
          <w:szCs w:val="24"/>
          <w:color w:val="auto"/>
        </w:rPr>
      </w:pPr>
    </w:p>
    <w:p>
      <w:pPr>
        <w:spacing w:after="0" w:line="297"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98"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3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77470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103505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180340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79"/>
          </w:cols>
          <w:pgMar w:left="480" w:top="33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January 31, 2025, the Registrant filed with the Canadian Securities Regulatory Authorities on the System for Electronic Data Analysis and Retrieval + (SEDAR +) a press release, a copy of which is attached hereto as Exhibit 99.1, which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7120" w:type="dxa"/>
            <w:vAlign w:val="bottom"/>
          </w:tcPr>
          <w:p>
            <w:pPr>
              <w:spacing w:after="0"/>
              <w:rPr>
                <w:sz w:val="20"/>
                <w:szCs w:val="20"/>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7120" w:type="dxa"/>
            <w:vAlign w:val="bottom"/>
            <w:tcBorders>
              <w:top w:val="single" w:sz="8" w:color="auto"/>
            </w:tcBorders>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988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Press release dated January 31, 2025</w:t>
            </w:r>
          </w:p>
        </w:tc>
      </w:tr>
      <w:tr>
        <w:trPr>
          <w:trHeight w:val="115"/>
        </w:trPr>
        <w:tc>
          <w:tcPr>
            <w:tcW w:w="1360" w:type="dxa"/>
            <w:vAlign w:val="bottom"/>
            <w:tcBorders>
              <w:top w:val="single" w:sz="8" w:color="CCEEFF"/>
              <w:bottom w:val="single" w:sz="8" w:color="auto"/>
            </w:tcBorders>
          </w:tcPr>
          <w:p>
            <w:pPr>
              <w:spacing w:after="0"/>
              <w:rPr>
                <w:sz w:val="10"/>
                <w:szCs w:val="10"/>
                <w:color w:val="auto"/>
              </w:rPr>
            </w:pPr>
          </w:p>
        </w:tc>
        <w:tc>
          <w:tcPr>
            <w:tcW w:w="120" w:type="dxa"/>
            <w:vAlign w:val="bottom"/>
            <w:tcBorders>
              <w:top w:val="single" w:sz="8" w:color="CCEEFF"/>
              <w:bottom w:val="single" w:sz="8" w:color="auto"/>
            </w:tcBorders>
          </w:tcPr>
          <w:p>
            <w:pPr>
              <w:spacing w:after="0"/>
              <w:rPr>
                <w:sz w:val="10"/>
                <w:szCs w:val="10"/>
                <w:color w:val="auto"/>
              </w:rPr>
            </w:pPr>
          </w:p>
        </w:tc>
        <w:tc>
          <w:tcPr>
            <w:tcW w:w="2640" w:type="dxa"/>
            <w:vAlign w:val="bottom"/>
            <w:tcBorders>
              <w:top w:val="single" w:sz="8" w:color="0000EE"/>
              <w:bottom w:val="single" w:sz="8" w:color="auto"/>
            </w:tcBorders>
          </w:tcPr>
          <w:p>
            <w:pPr>
              <w:spacing w:after="0"/>
              <w:rPr>
                <w:sz w:val="10"/>
                <w:szCs w:val="10"/>
                <w:color w:val="auto"/>
              </w:rPr>
            </w:pPr>
          </w:p>
        </w:tc>
        <w:tc>
          <w:tcPr>
            <w:tcW w:w="7120" w:type="dxa"/>
            <w:vAlign w:val="bottom"/>
            <w:tcBorders>
              <w:top w:val="single" w:sz="8" w:color="CCEEFF"/>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160" w:right="8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Ben Gagnon</w:t>
      </w:r>
    </w:p>
    <w:p>
      <w:pPr>
        <w:spacing w:after="0" w:line="27" w:lineRule="exact"/>
        <w:rPr>
          <w:sz w:val="20"/>
          <w:szCs w:val="20"/>
          <w:color w:val="auto"/>
        </w:rPr>
      </w:pPr>
    </w:p>
    <w:tbl>
      <w:tblPr>
        <w:tblLayout w:type="fixed"/>
        <w:tblInd w:w="7100" w:type="dxa"/>
        <w:tblCellMar>
          <w:top w:w="0" w:type="dxa"/>
          <w:left w:w="0" w:type="dxa"/>
          <w:bottom w:w="0" w:type="dxa"/>
          <w:right w:w="0" w:type="dxa"/>
        </w:tblCellMar>
      </w:tblPr>
      <w:tr>
        <w:trPr>
          <w:trHeight w:val="191"/>
        </w:trPr>
        <w:tc>
          <w:tcPr>
            <w:tcW w:w="6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54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Ben Gagnon</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rPr>
          <w:sz w:val="20"/>
          <w:szCs w:val="20"/>
          <w:color w:val="auto"/>
        </w:rPr>
      </w:pPr>
      <w:r>
        <w:rPr>
          <w:rFonts w:ascii="Times New Roman" w:cs="Times New Roman" w:eastAsia="Times New Roman" w:hAnsi="Times New Roman"/>
          <w:sz w:val="18"/>
          <w:szCs w:val="18"/>
          <w:color w:val="auto"/>
        </w:rPr>
        <w:t>Date: February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13970</wp:posOffset>
            </wp:positionV>
            <wp:extent cx="2031365"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Bitfarms Engages Strategic Partners to Develop HPC/AI Business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-Engages expert consultants ASG &amp; World Wide Technology-</w:t>
      </w:r>
    </w:p>
    <w:p>
      <w:pPr>
        <w:spacing w:after="0" w:line="1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Toronto, Ontario (January 31, 2025) </w:t>
      </w:r>
      <w:r>
        <w:rPr>
          <w:rFonts w:ascii="Times New Roman" w:cs="Times New Roman" w:eastAsia="Times New Roman" w:hAnsi="Times New Roman"/>
          <w:sz w:val="18"/>
          <w:szCs w:val="18"/>
          <w:color w:val="auto"/>
        </w:rPr>
        <w:t>- Bitfarms Ltd. (NASDAQ/TSX: BITF), a global Bitcoin and vertically integrated data center company,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it has engaged two expert consultants in HPC strategy and artificial intelligence (“AI”), Appleby Strategy Group (“ASG”) and World Wide Technology (“WWT”), to conduct a comprehensive feasibility analysis on all its North American sites and advise on its global HPC/AI strategy. In parallel, ASG and WWT will help build accelerated sales and development strategies and market the sites on behalf of Bitfarms to potential customers.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Bitfarms CEO Ben Gagnon stated, “Bitfarms is committed to maximizing the utility and value of our 1.2 GW North American portfolio. ASG and WWT will draw upon their substantial expertise to evaluate our sites for HPC/AI. Based on active discussions over the past several months with potential HPC/AI partners and customers, we are confident that our North American portfolio pipeline, particularly sites located on the PJM grid, is strongly suited for HPC/AI. The contracts associated with HPC/AI customers provide long-term, steady cash flows and earnings streams while our Bitcoin mining operations will continue to monetize Bitcoin’s flexible upside potential, creating a powerful and resilient portfolio that will generate long-term value for our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9"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Bitcoin and vertically integrated data center company that contributes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 The Company’s proprietary data analytics system delivers best-in-class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-559435</wp:posOffset>
            </wp:positionV>
            <wp:extent cx="7123430" cy="15087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150876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as well as hosting agreements with two data centers, in four countries: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Canada, the United States, Paraguay, and Argentina. Powered predominantly by environmentally friendly hydro-electric and long-term power contracts,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Bitfarms is committed to using sustainable and often underutilized energy infrastructure.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685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27" w:lineRule="exact"/>
        <w:rPr>
          <w:sz w:val="20"/>
          <w:szCs w:val="20"/>
          <w:color w:val="auto"/>
        </w:rPr>
      </w:pPr>
    </w:p>
    <w:p>
      <w:pPr>
        <w:ind w:left="360" w:hanging="127"/>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Y/Y or M/M= year over year or month over month</w:t>
      </w:r>
    </w:p>
    <w:p>
      <w:pPr>
        <w:spacing w:after="0" w:line="117" w:lineRule="exact"/>
        <w:rPr>
          <w:rFonts w:ascii="Times New Roman" w:cs="Times New Roman" w:eastAsia="Times New Roman" w:hAnsi="Times New Roman"/>
          <w:sz w:val="18"/>
          <w:szCs w:val="18"/>
          <w:color w:val="auto"/>
        </w:rPr>
      </w:pPr>
    </w:p>
    <w:p>
      <w:pPr>
        <w:ind w:left="360" w:hanging="127"/>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117" w:lineRule="exact"/>
        <w:rPr>
          <w:rFonts w:ascii="Times New Roman" w:cs="Times New Roman" w:eastAsia="Times New Roman" w:hAnsi="Times New Roman"/>
          <w:sz w:val="18"/>
          <w:szCs w:val="18"/>
          <w:color w:val="auto"/>
        </w:rPr>
      </w:pPr>
    </w:p>
    <w:p>
      <w:pPr>
        <w:ind w:left="360" w:hanging="127"/>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117" w:lineRule="exact"/>
        <w:rPr>
          <w:rFonts w:ascii="Times New Roman" w:cs="Times New Roman" w:eastAsia="Times New Roman" w:hAnsi="Times New Roman"/>
          <w:sz w:val="18"/>
          <w:szCs w:val="18"/>
          <w:color w:val="auto"/>
        </w:rPr>
      </w:pPr>
    </w:p>
    <w:p>
      <w:pPr>
        <w:ind w:left="360" w:hanging="127"/>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HPC/AI = High Performance Computing / Artificial Intelligence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83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83080"/>
                    </a:xfrm>
                    <a:prstGeom prst="rect">
                      <a:avLst/>
                    </a:prstGeom>
                    <a:noFill/>
                  </pic:spPr>
                </pic:pic>
              </a:graphicData>
            </a:graphic>
          </wp:anchor>
        </w:drawing>
        <w:t>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projected growth, target hashrate, opportunities relating to the potential of the </w:t>
      </w:r>
      <w:r>
        <w:rPr>
          <w:rFonts w:ascii="Times New Roman" w:cs="Times New Roman" w:eastAsia="Times New Roman" w:hAnsi="Times New Roman"/>
          <w:sz w:val="18"/>
          <w:szCs w:val="18"/>
          <w:i w:val="1"/>
          <w:iCs w:val="1"/>
          <w:color w:val="auto"/>
          <w:highlight w:val="white"/>
        </w:rPr>
        <w:t xml:space="preserve">Company’s data centers for HPC/AI opportunities, the merits and ability to secure long-term contracts associated with HPC/AI customers and other </w:t>
      </w:r>
      <w:r>
        <w:rPr>
          <w:rFonts w:ascii="Times New Roman" w:cs="Times New Roman" w:eastAsia="Times New Roman" w:hAnsi="Times New Roman"/>
          <w:sz w:val="18"/>
          <w:szCs w:val="18"/>
          <w:i w:val="1"/>
          <w:iCs w:val="1"/>
          <w:color w:val="auto"/>
        </w:rPr>
        <w:t xml:space="preserve">statements regarding future growth, plans and objectives of the Company are forward-looking information. Any statements that involve discussions with </w:t>
      </w:r>
      <w:r>
        <w:rPr>
          <w:rFonts w:ascii="Times New Roman" w:cs="Times New Roman" w:eastAsia="Times New Roman" w:hAnsi="Times New Roman"/>
          <w:sz w:val="18"/>
          <w:szCs w:val="18"/>
          <w:i w:val="1"/>
          <w:iCs w:val="1"/>
          <w:color w:val="auto"/>
          <w:highlight w:val="white"/>
        </w:rPr>
        <w:t xml:space="preserve">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w:t>
      </w:r>
      <w:r>
        <w:rPr>
          <w:rFonts w:ascii="Times New Roman" w:cs="Times New Roman" w:eastAsia="Times New Roman" w:hAnsi="Times New Roman"/>
          <w:sz w:val="18"/>
          <w:szCs w:val="18"/>
          <w:i w:val="1"/>
          <w:iCs w:val="1"/>
          <w:color w:val="auto"/>
        </w:rPr>
        <w:t xml:space="preserve">“could”, “would”, “might” or “will” be taken to occur or be achieved) are not statements of historical fact and may be forward-looking information and </w:t>
      </w:r>
      <w:r>
        <w:rPr>
          <w:rFonts w:ascii="Times New Roman" w:cs="Times New Roman" w:eastAsia="Times New Roman" w:hAnsi="Times New Roman"/>
          <w:sz w:val="18"/>
          <w:szCs w:val="18"/>
          <w:i w:val="1"/>
          <w:iCs w:val="1"/>
          <w:color w:val="auto"/>
          <w:highlight w:val="white"/>
        </w:rPr>
        <w:t>are intended to identify forward-looking information.</w:t>
      </w:r>
    </w:p>
    <w:p>
      <w:pPr>
        <w:spacing w:after="0" w:line="2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highlight w:val="white"/>
        </w:rPr>
        <w:t xml:space="preserve">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an inability to apply the Company’s data centers to HPC/AI opportunities on a profitable basis; a failure to secure long-term contracts associated with HPC/AI customers on terms which are economic or at all; the construction and operation of the Company’s facilities may not occur as currently planned, or at all; there is no guarantee that the Company will be able to complete the acquisition of Stronghold Digital Mining, Inc. on the terms as announced,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w:t>
      </w:r>
      <w:r>
        <w:rPr>
          <w:rFonts w:ascii="Times New Roman" w:cs="Times New Roman" w:eastAsia="Times New Roman" w:hAnsi="Times New Roman"/>
          <w:sz w:val="18"/>
          <w:szCs w:val="18"/>
          <w:i w:val="1"/>
          <w:iCs w:val="1"/>
          <w:color w:val="auto"/>
        </w:rPr>
        <w:t>the risk that a material weakness in internal control over financial reporting</w:t>
      </w:r>
      <w:r>
        <w:rPr>
          <w:rFonts w:ascii="Times New Roman" w:cs="Times New Roman" w:eastAsia="Times New Roman" w:hAnsi="Times New Roman"/>
          <w:sz w:val="18"/>
          <w:szCs w:val="18"/>
          <w:i w:val="1"/>
          <w:iCs w:val="1"/>
          <w:color w:val="auto"/>
          <w:highlight w:val="white"/>
        </w:rPr>
        <w:t xml:space="preserve"> </w:t>
      </w:r>
      <w:r>
        <w:rPr>
          <w:rFonts w:ascii="Times New Roman" w:cs="Times New Roman" w:eastAsia="Times New Roman" w:hAnsi="Times New Roman"/>
          <w:sz w:val="18"/>
          <w:szCs w:val="18"/>
          <w:i w:val="1"/>
          <w:iCs w:val="1"/>
          <w:color w:val="auto"/>
        </w:rPr>
        <w:t xml:space="preserve">could result in a misstatement of the Company’s financial position that may lead to a material misstatement of the annual or interim consolidated financial statements if not prevented or detected on a timely basis; </w:t>
      </w:r>
      <w:r>
        <w:rPr>
          <w:rFonts w:ascii="Times New Roman" w:cs="Times New Roman" w:eastAsia="Times New Roman" w:hAnsi="Times New Roman"/>
          <w:sz w:val="18"/>
          <w:szCs w:val="18"/>
          <w:i w:val="1"/>
          <w:iCs w:val="1"/>
          <w:color w:val="auto"/>
          <w:highlight w:val="white"/>
        </w:rPr>
        <w:t>any regulations or laws that will prevent Bitfarms from operating its business; historical prices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color w:val="auto"/>
          <w:highlight w:val="white"/>
        </w:rPr>
        <w:t xml:space="preserve">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at www.sec.gov), including the restated MD&amp;A for the year-ended December 31, 2023, filed on December 9,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 </w:t>
      </w:r>
      <w:r>
        <w:rPr>
          <w:rFonts w:ascii="Times New Roman" w:cs="Times New Roman" w:eastAsia="Times New Roman" w:hAnsi="Times New Roman"/>
          <w:sz w:val="18"/>
          <w:szCs w:val="18"/>
          <w:i w:val="1"/>
          <w:iCs w:val="1"/>
          <w:color w:val="auto"/>
        </w:rPr>
        <w:t>Trading in the securities of the Company should be</w:t>
      </w:r>
      <w:r>
        <w:rPr>
          <w:rFonts w:ascii="Times New Roman" w:cs="Times New Roman" w:eastAsia="Times New Roman" w:hAnsi="Times New Roman"/>
          <w:sz w:val="18"/>
          <w:szCs w:val="18"/>
          <w:i w:val="1"/>
          <w:iCs w:val="1"/>
          <w:color w:val="auto"/>
          <w:highlight w:val="white"/>
        </w:rPr>
        <w:t xml:space="preserve"> </w:t>
      </w:r>
      <w:r>
        <w:rPr>
          <w:rFonts w:ascii="Times New Roman" w:cs="Times New Roman" w:eastAsia="Times New Roman" w:hAnsi="Times New Roman"/>
          <w:sz w:val="18"/>
          <w:szCs w:val="18"/>
          <w:i w:val="1"/>
          <w:iCs w:val="1"/>
          <w:color w:val="auto"/>
        </w:rPr>
        <w:t>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08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087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Brady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cbaker@bitfarms.com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2025-02-04T16:04:35Z</dcterms:created>
  <dcterms:modified xsi:type="dcterms:W3CDTF">2025-02-04T16:04:35Z</dcterms:modified>
</cp:coreProperties>
</file>