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142875</wp:posOffset>
            </wp:positionV>
            <wp:extent cx="203136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Enters into Second 10,000 Miner Hosting Agreement with Stronghold Digital Mining</w:t>
      </w:r>
    </w:p>
    <w:p>
      <w:pPr>
        <w:spacing w:after="0" w:line="225" w:lineRule="exact"/>
        <w:rPr>
          <w:sz w:val="24"/>
          <w:szCs w:val="24"/>
          <w:color w:val="auto"/>
        </w:rPr>
      </w:pPr>
    </w:p>
    <w:p>
      <w:pPr>
        <w:ind w:left="2900" w:hanging="103"/>
        <w:spacing w:after="0"/>
        <w:tabs>
          <w:tab w:leader="none" w:pos="290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Follows initial 10,000 miner hosting agreement announced in September –</w:t>
      </w:r>
    </w:p>
    <w:p>
      <w:pPr>
        <w:spacing w:after="0" w:line="31" w:lineRule="exact"/>
        <w:rPr>
          <w:rFonts w:ascii="Times New Roman" w:cs="Times New Roman" w:eastAsia="Times New Roman" w:hAnsi="Times New Roman"/>
          <w:sz w:val="18"/>
          <w:szCs w:val="18"/>
          <w:b w:val="1"/>
          <w:bCs w:val="1"/>
          <w:i w:val="1"/>
          <w:iCs w:val="1"/>
          <w:color w:val="auto"/>
        </w:rPr>
      </w:pPr>
    </w:p>
    <w:p>
      <w:pPr>
        <w:ind w:left="4540" w:hanging="107"/>
        <w:spacing w:after="0"/>
        <w:tabs>
          <w:tab w:leader="none" w:pos="4540" w:val="left"/>
        </w:tabs>
        <w:numPr>
          <w:ilvl w:val="1"/>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Agreement supports 2.2 EH/s -</w:t>
      </w:r>
    </w:p>
    <w:p>
      <w:pPr>
        <w:spacing w:after="0" w:line="205"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amended and restated prospectus supplement dated October 4, 2024, to its short form base shelf prospectus dated November 10, 2023.</w:t>
      </w:r>
    </w:p>
    <w:p>
      <w:pPr>
        <w:spacing w:after="0" w:line="156" w:lineRule="exact"/>
        <w:rPr>
          <w:sz w:val="24"/>
          <w:szCs w:val="24"/>
          <w:color w:val="auto"/>
        </w:rPr>
      </w:pPr>
    </w:p>
    <w:p>
      <w:pPr>
        <w:jc w:val="both"/>
        <w:ind w:hanging="1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(October 31, 2024) </w:t>
      </w:r>
      <w:r>
        <w:rPr>
          <w:rFonts w:ascii="Times New Roman" w:cs="Times New Roman" w:eastAsia="Times New Roman" w:hAnsi="Times New Roman"/>
          <w:sz w:val="18"/>
          <w:szCs w:val="18"/>
          <w:color w:val="auto"/>
        </w:rPr>
        <w:t>- Bitfarms Ltd. (NASDAQ/TSX: BITF) ("Bitfarms" or the "Company"), a global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vertically integrated Bitcoin data center operations, has, through one of its subsidiaries, entered into a second miner hosting agreement (the "Hosting Agreement") with Stronghold Digital Mining Hosting, LLC, a subsidiary of Stronghold Digital Mining, Inc. (NASDAQ: SDIG) (“Stronghold”) at Stronghold’s Scrubgrass site in Pennsylvania.</w:t>
      </w:r>
    </w:p>
    <w:p>
      <w:pPr>
        <w:spacing w:after="0" w:line="180" w:lineRule="exact"/>
        <w:rPr>
          <w:sz w:val="24"/>
          <w:szCs w:val="24"/>
          <w:color w:val="auto"/>
        </w:rPr>
      </w:pPr>
    </w:p>
    <w:p>
      <w:pPr>
        <w:jc w:val="both"/>
        <w:ind w:hanging="11"/>
        <w:spacing w:after="0" w:line="282" w:lineRule="auto"/>
        <w:rPr>
          <w:sz w:val="20"/>
          <w:szCs w:val="20"/>
          <w:color w:val="auto"/>
        </w:rPr>
      </w:pPr>
      <w:r>
        <w:rPr>
          <w:rFonts w:ascii="Times New Roman" w:cs="Times New Roman" w:eastAsia="Times New Roman" w:hAnsi="Times New Roman"/>
          <w:sz w:val="18"/>
          <w:szCs w:val="18"/>
          <w:color w:val="auto"/>
        </w:rPr>
        <w:t>Under the terms of the Hosting Agreement, Bitfarms will deploy an additional 10,000 miners, originally expected to be used for its Yguazu, Paraguay site, to Stronghold’s Scrubgrass site. Energization is anticipated to start in December 2024.</w:t>
      </w:r>
    </w:p>
    <w:p>
      <w:pPr>
        <w:spacing w:after="0" w:line="162" w:lineRule="exact"/>
        <w:rPr>
          <w:sz w:val="24"/>
          <w:szCs w:val="24"/>
          <w:color w:val="auto"/>
        </w:rPr>
      </w:pPr>
    </w:p>
    <w:p>
      <w:pPr>
        <w:jc w:val="both"/>
        <w:ind w:hanging="11"/>
        <w:spacing w:after="0" w:line="256" w:lineRule="auto"/>
        <w:rPr>
          <w:sz w:val="20"/>
          <w:szCs w:val="20"/>
          <w:color w:val="auto"/>
        </w:rPr>
      </w:pPr>
      <w:r>
        <w:rPr>
          <w:rFonts w:ascii="Times New Roman" w:cs="Times New Roman" w:eastAsia="Times New Roman" w:hAnsi="Times New Roman"/>
          <w:sz w:val="18"/>
          <w:szCs w:val="18"/>
          <w:color w:val="auto"/>
        </w:rPr>
        <w:t>“Optimizing our assets with these rapid upgrades at Stronghold’s Pennsylvania sites will provide significant near-term value for Bitfarms,” stated Ben Gagnon, CEO. “The 20,000 miners we are deploying at the two sites between the two hosting agreements will boast efficiency of ~20.5 w/TH, continuing to improve our overall fleet efficiency. Vertically integrating our operations with Stronghold’s existing power generation infrastructure reduces capital expenditure requirements and allows us to take greater control over our cost of power via energy trading and better utilization of the T21’s wide range of operating modes. We look forward to completing our acquisition of Stronghold and executing our strategy to increase our U.S. footprint and diversify beyond Bitcoin mining.”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ind w:hanging="11"/>
        <w:spacing w:after="0" w:line="258" w:lineRule="auto"/>
        <w:rPr>
          <w:sz w:val="20"/>
          <w:szCs w:val="20"/>
          <w:color w:val="auto"/>
        </w:rPr>
      </w:pPr>
      <w:r>
        <w:rPr>
          <w:rFonts w:ascii="Times New Roman" w:cs="Times New Roman" w:eastAsia="Times New Roman" w:hAnsi="Times New Roman"/>
          <w:sz w:val="18"/>
          <w:szCs w:val="18"/>
          <w:color w:val="auto"/>
        </w:rPr>
        <w:t>The initial term of the Hosting Agreement will expire on December 31, 2025, after which it will automatically renew for additional one-year periods unless either party provides written notice of non-renewal. Pursuant to the Hosting Agreement, Bitfarms will pay Stronghold a monthly fee equal to fifty percent of the profit generated by the Bitfarms miners. In connection with the execution of the Hosting Agreement, Bitfarms also deposited with Stronghold $7.8 million, equal to the estimated cost of power for three months of operations of the Bitfarms miners, which will be refundable in full to Bitfarms at the end of the initial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as well as hosting agreements with two data centers, in four countries: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impact of the Hosting Agreement, projected growth, target hashrate, opportunities relating to the Company’s geographical diversification and expansion, deployment of miners as well as the timing therefor, closing of the Stronghold acquisition on a timely basis and on the terms as announced, , the ability to gain access to additional electrical power and grow hashrate of the Stronghold business, performance of the plants and equipment upgrades and the impact on operating capacity including the target hashrate and multi-year expansion capacity, the opportunities to leverage Bitfarms’ proven expertise to successfully enhance energy efficiency and hashrate, and other statements regarding future growth, plans and objectives of the Company are forward-looking information.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its registration statement on Form F-4 (File No. 333-282657) filed by Bitfarms with the SEC (the “registration statement”), which includes a proxy statement of Stronghold that also constitutes a prospectus of Bitfarms (the “proxy statement/prospectus”).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Merger and Where to Find It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communication relates to a proposed merger between Stronghold and Bitfarms. In connection with the proposed merger, Bitfarms has filed the registration statement with the SEC.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 w:cs="Times New Roman" w:eastAsia="Times New Roman" w:hAnsi="Times New Roman"/>
          <w:sz w:val="18"/>
          <w:szCs w:val="18"/>
          <w:b w:val="1"/>
          <w:bCs w:val="1"/>
          <w:i w:val="1"/>
          <w:iCs w:val="1"/>
          <w:color w:val="auto"/>
        </w:rPr>
        <w:t>Investors are urged to read the proxy statement/prospectus (including all amendments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supplements thereto) and other relevant documents filed with the SEC carefully and in their entirety if and when they become available because they will contain important information about the proposed merger and related matters.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Merger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is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2024-11-04T05:09:02Z</dcterms:created>
  <dcterms:modified xsi:type="dcterms:W3CDTF">2024-11-04T05:09:02Z</dcterms:modified>
</cp:coreProperties>
</file>