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For the month of October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23"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0"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spacing w:after="0" w:line="26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On October 15, 2025, the Registrant filed with the Canadian Securities Regulatory Authorities on the System for Electronic Data Analysis and Retrieval + (SEDAR +) a material change report that includes a copy of a press release, a copy of which is attached hereto as Exhibit 99.1, which is incorporated by </w:t>
      </w:r>
      <w:hyperlink r:id="rId19">
        <w:r>
          <w:rPr>
            <w:rFonts w:ascii="Times New Roman" w:cs="Times New Roman" w:eastAsia="Times New Roman" w:hAnsi="Times New Roman"/>
            <w:sz w:val="18"/>
            <w:szCs w:val="18"/>
            <w:color w:val="auto"/>
          </w:rPr>
          <w:t xml:space="preserve">reference into the Registration Statements of Bitfarms Ltd. on Form F-10 (File No. </w:t>
        </w:r>
        <w:r>
          <w:rPr>
            <w:rFonts w:ascii="Times New Roman" w:cs="Times New Roman" w:eastAsia="Times New Roman" w:hAnsi="Times New Roman"/>
            <w:sz w:val="18"/>
            <w:szCs w:val="18"/>
            <w:u w:val="single" w:color="auto"/>
            <w:color w:val="0000EE"/>
          </w:rPr>
          <w:t>333-272989</w:t>
        </w:r>
        <w:r>
          <w:rPr>
            <w:rFonts w:ascii="Times New Roman" w:cs="Times New Roman" w:eastAsia="Times New Roman" w:hAnsi="Times New Roman"/>
            <w:sz w:val="18"/>
            <w:szCs w:val="18"/>
            <w:color w:val="auto"/>
          </w:rPr>
          <w:t xml:space="preserve">) and Form S-8 (File No. </w:t>
        </w:r>
        <w:r>
          <w:rPr>
            <w:rFonts w:ascii="Times New Roman" w:cs="Times New Roman" w:eastAsia="Times New Roman" w:hAnsi="Times New Roman"/>
            <w:sz w:val="18"/>
            <w:szCs w:val="18"/>
            <w:u w:val="single" w:color="auto"/>
            <w:color w:val="0000EE"/>
          </w:rPr>
          <w:t>333-278868</w:t>
        </w:r>
        <w:r>
          <w:rPr>
            <w:rFonts w:ascii="Times New Roman" w:cs="Times New Roman" w:eastAsia="Times New Roman" w:hAnsi="Times New Roman"/>
            <w:sz w:val="18"/>
            <w:szCs w:val="18"/>
            <w:color w:val="auto"/>
          </w:rPr>
          <w:t xml:space="preserve"> and File No. </w:t>
        </w:r>
        <w:r>
          <w:rPr>
            <w:rFonts w:ascii="Times New Roman" w:cs="Times New Roman" w:eastAsia="Times New Roman" w:hAnsi="Times New Roman"/>
            <w:sz w:val="18"/>
            <w:szCs w:val="18"/>
            <w:u w:val="single" w:color="auto"/>
            <w:color w:val="0000EE"/>
          </w:rPr>
          <w:t>333-</w:t>
        </w:r>
      </w:hyperlink>
      <w:hyperlink r:id="rId19">
        <w:r>
          <w:rPr>
            <w:rFonts w:ascii="Times New Roman" w:cs="Times New Roman" w:eastAsia="Times New Roman" w:hAnsi="Times New Roman"/>
            <w:sz w:val="18"/>
            <w:szCs w:val="18"/>
            <w:u w:val="single" w:color="auto"/>
            <w:color w:val="0000EE"/>
          </w:rPr>
          <w:t>285894</w:t>
        </w:r>
        <w:r>
          <w:rPr>
            <w:rFonts w:ascii="Times New Roman" w:cs="Times New Roman" w:eastAsia="Times New Roman" w:hAnsi="Times New Roman"/>
            <w:sz w:val="18"/>
            <w:szCs w:val="18"/>
            <w:color w:val="000000"/>
          </w:rPr>
          <w:t>), each as amended or supplemented.</w:t>
        </w:r>
      </w:hyperlink>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5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Material Change Report dated October 15, 2025</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4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17145</wp:posOffset>
            </wp:positionV>
            <wp:extent cx="25717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0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15,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15,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October 15, 2025 by a newswire company in Canada.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Bgagnon@bitfarms.com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17145</wp:posOffset>
            </wp:positionV>
            <wp:extent cx="246888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4688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Announces Proposed Offering of US$300 Million of Convertible Senior Notes</w:t>
      </w:r>
    </w:p>
    <w:p>
      <w:pPr>
        <w:spacing w:after="0" w:line="227"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Opportunistic capital raise for general corporate purposes</w:t>
      </w:r>
    </w:p>
    <w:p>
      <w:pPr>
        <w:spacing w:after="0" w:line="252"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Either net proceeds from this offering or cash on hand to be used to purchase cash-settled capped calls to offset economic dilution up to a targeted cap of 125% premium to the last reported sale price of Bitfarms’ common shares on Nasdaq on the date of pricing</w:t>
      </w:r>
    </w:p>
    <w:p>
      <w:pPr>
        <w:spacing w:after="0" w:line="1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Toronto, Ontario and New York, New York (October 15, 2025) </w:t>
      </w:r>
      <w:r>
        <w:rPr>
          <w:rFonts w:ascii="Times New Roman" w:cs="Times New Roman" w:eastAsia="Times New Roman" w:hAnsi="Times New Roman"/>
          <w:sz w:val="18"/>
          <w:szCs w:val="18"/>
          <w:color w:val="auto"/>
        </w:rPr>
        <w:t>- Bitfarms Ltd. (NASDAQ/TSX: BITF), a North American energy and digital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infrastructure company (“Bitfarms” or the “Company”), today announced that it intends to offer US$300 million aggregate principal amount of convertible senior notes due 2031 (the “Convertible Notes”). Bitfarms also expects to grant the initial purchasers of the Convertible Notes an option to purchase, for a 13-day period beginning on and including the date on which the Convertible Notes are first issued, up to an additional US$60 million aggregate principal amount of the Convertible Notes. The offering is subject to market and other conditions (including receipt of Toronto Stock Exchange approval), and there can be no assurance as to whether, when or on what terms the offering may be completed.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Notes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Convertible Notes will be senior unsecured obligations of the Company and will accrue interest at a rate payable semi-annually in arrears on January 15 and July 15 of each year, beginning on July 15, 2026. The Convertible Notes will mature on January 15, 2031, unless earlier repurchased, redeemed or converted in accordance with their terms. Prior to October 15, 2030, the Convertible Notes will be convertible only upon satisfaction of certain conditions and during certain periods, and thereafter, the Convertible Notes will be convertible at the option of holders at any time until the close of business on the second scheduled trading day immediately preceding the maturity date.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Convertible Notes will be convertible into cash, common shares of the Company (“common shares”) or a combination of cash and common shares, at the Company’s election. The initial conversion rate, interest rate and other terms of the Convertible Notes will be determined at the time of pricing in negotiations with the initial purchasers of the Convertible Notes.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intends to use the net proceeds from the offering for general corporate purposes. Additionally, the Company intends to use either net proceeds from this offering or cash on hand to pay the cost of the capped call transactions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Capped Call Transactions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offering of the Convertible Notes, the Company expects to enter into privately negotiated cash-settled capped call transactions with one or more of the initial purchasers of the Convertible Notes, their respective affiliates, and/or other financial institutions (the “capped call counterparties”). The capped call transactions will cover, subject to anti-dilution adjustments substantially similar to those applicable to the Convertible Notes, the number of common shares that will initially underlie the Convertible Notes, assuming the initial purchasers do not exercise their option to purchase additional notes. If the initial purchasers of the Convertible Notes exercise their option to purchase additional Convertible Notes, the Company expects to use the net proceeds from the sale of additional Convertible Notes for general corporate purposes and additionally, the Company intends to use the net proceeds from the sale of the additional Convertible Notes or existing cash on hand to fund the cost of entering into additional capped call transactions with the capped call counterparties.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capped call transactions are expected generally to reduce potential economic dilution upon conversion of any Convertible Notes and/or offset any cash payments the Company could be required to make in excess of the principal amount of any converted Convertible Notes upon conversion thereof, as the case may be, with such reduction and/or offset subject to a cap targeted at a 125% premium to the last reported sale price of Bitfarms’ common shares on Nasdaq on the date of pricing.</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establishing their initial hedges of the capped call transactions, the Company expects the capped call counterparties or their respective affiliates to purchase common shares and/or enter into various derivative transactions with respect to the common shares concurrently with or shortly after the pricing of the Convertible Notes, and such capped call counterparties or their respective affiliates may unwind these various derivative transactions and/or sell common shares in open market transactions. This activity could increase (or reduce the size of any decrease in) the market price of the common shares or the Convertible Notes at that time. In addition, the capped call counterparties or their respective affiliates may modify their hedge positions by entering into or unwinding various derivatives with respect to the common shares and/or purchasing or selling common shares or other securities of the Company in secondary market transactions following the pricing of the Convertible Notes and prior to the maturity of the Convertible Notes (and are likely to do so during any observation period related to a conversion of the Convertible Notes). This activity could also cause or avoid an increase or decrease in the market price of the common shares or the Convertible Notes, which could affect holders of the Convertible Notes’ ability to convert the Convertible Notes and, to the extent the activity occurs during any observation period related to a conversion of the Convertible Notes, it could affect the amount and value of the consideration that holders of the Convertible Notes will receive upon conversion of such Convertible Notes.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Convertible Notes and the common shares issuable upon the conversion thereof have not been and will not be registered under the U.S. Securities Act of 1933, as amended (the “Securities Act”), registered under any state securities laws, or qualified by a prospectus in any province or territory of Canada. The Convertible Notes and the common shares may not be offered, sold or delivered, directly or indirectly, in the United States absent registration under the Securities Act or an applicable exemption from registration under the Securities Act. The Convertible Notes will be offered only to “qualified institutional buyers” (as defined in Rule 144A under the Securities Act). Offers and sales in Canada will be made only pursuant to exemptions from the prospectus requirements of applicable Canadian provincial and territorial securities laws.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spacing w:after="0" w:line="256" w:lineRule="auto"/>
        <w:rPr>
          <w:sz w:val="20"/>
          <w:szCs w:val="20"/>
          <w:color w:val="auto"/>
        </w:rPr>
      </w:pPr>
      <w:r>
        <w:rPr>
          <w:rFonts w:ascii="Times New Roman" w:cs="Times New Roman" w:eastAsia="Times New Roman" w:hAnsi="Times New Roman"/>
          <w:sz w:val="18"/>
          <w:szCs w:val="18"/>
          <w:color w:val="auto"/>
        </w:rPr>
        <w:t>The offering of the Convertible Notes is subject to certain conditions including, but not limited to, the receipt of all necessary approvals, including the approval of the Toronto Stock Exchange and Nasdaq, and there can be no assurance as to whether, when or on what terms the offering may be completed. The Convertible Notes issued in connection with the offering and the common shares issuable upon the conversion of the Convertible Notes will be subject to a statutory hold period in accordance with applicable securities legislation. The Company intends to rely on the exemption under Section 602.1 of the Toronto Stock Exchange’s Company Manual (the “TSX manual”) available to Eligible Interlisted Issuers (as defined in the TSX manual) in respect of the offering.</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is neither an offer to sell, nor is it a solicitation of an offer to buy the Convertible Notes or any other securities and shall not constitute an offer to sell or solicitation of an offer to buy, or a sale of, the Convertible Notes or any other securities in any jurisdiction in which such offer, solicitation or sale would be unlawful prior to registration or qualification under the securities laws of any such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Bitfarms is a North American energy and digital infrastructure company that builds and operates vertically integrated, state-of-the-art data centers and energy infrastructure for high-performance computing and Bitcoin mining.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a focus on U.S. growth, Bitfarms’ 1.3 GW energy pipeline is more than 80% U.S.-based and clustered in data center hotspots with robust access to power and fiber infrastructure.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Bitfarms was founded in 2017 and is a proven leader in digital infrastructure with operations throughout the Americas. Bitfarms is headquartered in New York, NY and Toronto, ON and traded on the Nasdaq and Toronto Stock Exchange.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anticipated future events and expectations that are not historical facts, such as statements concerning the proposed terms of the Convertible Notes and the capped call transactions, the completion, timing and size of the proposed offering of the Convertible Notes and the capped call transactions, and the anticipated use of proceeds from the proposed offering are forward-looking information.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This forward-looking information is based on assumptions and estimates of management of Bitfarms at the time they were made, and involves known and unknown risks, uncertainties and other factors which may cause the actual results, performance, or achievements of Bitfarms to be materially different from any future results, performance or achievements expressed or implied by such forward-looking information. Such factors, risks and uncertainties include, among others: an inability to apply the Company’s data centers to HPC/AI opportunities on a profitable basis; a failure to secure long-term contracts associated with HPC/AI customers on terms which are economic or at all; the construction and operation of new facilities may not occur as currently planned, or at all; expansion of existing facilities may not materialize as currently anticipated, or at all; an inability to satisfy the Panther Creek location related milestones which are conditions to loan drawdowns under the Macquarie Group financing facility; an inability to deploy the proceeds of the Macquarie Group financing facility to generate positive returns at the Panther Creek location; the construction and operation of new facilities may not occur as currently planned, or at all; expansion of existing facilities may not materialize as currently anticipated, or at all; new miners may not perform up to expectations; revenue may not increase as currently anticipated, or at all; the ongoing ability to successfully mine digital currency is not assured;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former Stronghold plants which entail environmental risk and certain additional risk factors particular to the former business and operations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Bitfarms operates and the potential adverse impact on profitability; future capital needs and the ability to complete current and future financings, including Bitfarms’ ability to utilize an at-the-market offering program ( “ATM Program”) and the prices at which securities may be sold in such ATM Program, as well as capital market conditions in general; share dilution resulting from an ATM Program and from other equity issuances; the risks of debt leverage and the ability to service and eventually repay the Macquarie Group financing facility; volatile securities markets impacting security pricing unrelated to operating performance; the risk that a material weakness in internal control over financial reporting could result in a misstatement of financial position that may lead to a material misstatement of the annual or interim consolidated financial statements if not prevented or detected on a timely basis; risks related to the Company ceasing to qualify as an “emerging growth company”; risks related to unsolicited investor interest, takeover proposals, shareholder activism or proxy contests relating to the election of directors; risks relating to lawsuits and other legal proceedings and challenges;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Bitfarms’ filings on www.sedarplus.ca (which are also available on the website of the U.S. Securities and Exchange Commission (the “SEC”) at www.sec.gov), including the Company’s annual information form for the year ended December 31, 2024, management’s discussion and analysis for the year-ended December 31, 2024 and the management’s discussion and analysis for the three and six months ended June 30, 2025. Although Bitfarms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There can be no assurance that such statements will prove to be accurate as actual results, and future events could differ materially from those anticipated in such statements. Accordingly, readers should not place undue reliance on any forward-looking information. Bitfarms does not undertake any obligation to revise or update any forward-looking information other than as required by law. 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Laine Yonker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lyonker@bitfarms.com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Brady Baker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cbaker@bitfarms.com</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2" w:right="339" w:bottom="63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19" Type="http://schemas.openxmlformats.org/officeDocument/2006/relationships/hyperlink" Target="http://www.sec.gov/Archives/edgar/data/1812477/000101376225000733/ea0232744-s8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2025-10-16T06:41:48Z</dcterms:created>
  <dcterms:modified xsi:type="dcterms:W3CDTF">2025-10-16T06:41:48Z</dcterms:modified>
</cp:coreProperties>
</file>