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40-F</w:t>
      </w:r>
    </w:p>
    <w:p>
      <w:pPr>
        <w:spacing w:after="0" w:line="144" w:lineRule="exact"/>
        <w:rPr>
          <w:sz w:val="24"/>
          <w:szCs w:val="24"/>
          <w:color w:val="auto"/>
        </w:rPr>
      </w:pPr>
    </w:p>
    <w:p>
      <w:pPr>
        <w:jc w:val="center"/>
        <w:ind w:left="5540" w:right="2260" w:hanging="3268"/>
        <w:spacing w:after="0" w:line="390" w:lineRule="auto"/>
        <w:tabs>
          <w:tab w:leader="none" w:pos="248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 of the Securities Exchange Act of 1934 or</w:t>
      </w:r>
    </w:p>
    <w:p>
      <w:pPr>
        <w:spacing w:after="0" w:line="29" w:lineRule="exact"/>
        <w:rPr>
          <w:rFonts w:ascii="MS PGothic" w:cs="MS PGothic" w:eastAsia="MS PGothic" w:hAnsi="MS PGothic"/>
          <w:sz w:val="18"/>
          <w:szCs w:val="18"/>
          <w:color w:val="auto"/>
        </w:rPr>
      </w:pPr>
    </w:p>
    <w:p>
      <w:pPr>
        <w:ind w:left="2360" w:hanging="201"/>
        <w:spacing w:after="0"/>
        <w:tabs>
          <w:tab w:leader="none" w:pos="2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13(a) or 15(d) of the Securities Exchange Act of 1934</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920" w:type="dxa"/>
            <w:vAlign w:val="bottom"/>
            <w:gridSpan w:val="6"/>
          </w:tcPr>
          <w:p>
            <w:pPr>
              <w:ind w:left="1120"/>
              <w:spacing w:after="0"/>
              <w:rPr>
                <w:sz w:val="20"/>
                <w:szCs w:val="20"/>
                <w:color w:val="auto"/>
              </w:rPr>
            </w:pPr>
            <w:r>
              <w:rPr>
                <w:rFonts w:ascii="Arial" w:cs="Arial" w:eastAsia="Arial" w:hAnsi="Arial"/>
                <w:sz w:val="18"/>
                <w:szCs w:val="18"/>
                <w:b w:val="1"/>
                <w:bCs w:val="1"/>
                <w:color w:val="auto"/>
              </w:rPr>
              <w:t>For the fiscal year ended December 31, 2021</w:t>
            </w:r>
          </w:p>
        </w:tc>
        <w:tc>
          <w:tcPr>
            <w:tcW w:w="4320" w:type="dxa"/>
            <w:vAlign w:val="bottom"/>
            <w:gridSpan w:val="5"/>
          </w:tcPr>
          <w:p>
            <w:pPr>
              <w:ind w:left="120"/>
              <w:spacing w:after="0"/>
              <w:rPr>
                <w:sz w:val="20"/>
                <w:szCs w:val="20"/>
                <w:color w:val="auto"/>
              </w:rPr>
            </w:pPr>
            <w:r>
              <w:rPr>
                <w:rFonts w:ascii="Arial" w:cs="Arial" w:eastAsia="Arial" w:hAnsi="Arial"/>
                <w:sz w:val="18"/>
                <w:szCs w:val="18"/>
                <w:b w:val="1"/>
                <w:bCs w:val="1"/>
                <w:color w:val="auto"/>
              </w:rPr>
              <w:t>Commission File Number 001-40370</w:t>
            </w:r>
          </w:p>
        </w:tc>
      </w:tr>
      <w:tr>
        <w:trPr>
          <w:trHeight w:val="353"/>
        </w:trPr>
        <w:tc>
          <w:tcPr>
            <w:tcW w:w="30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Bitfarms Ltd.</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r>
      <w:tr>
        <w:trPr>
          <w:trHeight w:val="234"/>
        </w:trPr>
        <w:tc>
          <w:tcPr>
            <w:tcW w:w="3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80" w:type="dxa"/>
            <w:vAlign w:val="bottom"/>
            <w:gridSpan w:val="9"/>
          </w:tcPr>
          <w:p>
            <w:pPr>
              <w:jc w:val="center"/>
              <w:ind w:right="334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358"/>
        </w:trPr>
        <w:tc>
          <w:tcPr>
            <w:tcW w:w="336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w w:val="92"/>
              </w:rPr>
              <w:t>Canada</w:t>
            </w:r>
          </w:p>
        </w:tc>
        <w:tc>
          <w:tcPr>
            <w:tcW w:w="3560" w:type="dxa"/>
            <w:vAlign w:val="bottom"/>
            <w:gridSpan w:val="4"/>
          </w:tcPr>
          <w:p>
            <w:pPr>
              <w:jc w:val="center"/>
              <w:ind w:left="990"/>
              <w:spacing w:after="0"/>
              <w:rPr>
                <w:sz w:val="20"/>
                <w:szCs w:val="20"/>
                <w:color w:val="auto"/>
              </w:rPr>
            </w:pPr>
            <w:r>
              <w:rPr>
                <w:rFonts w:ascii="Arial" w:cs="Arial" w:eastAsia="Arial" w:hAnsi="Arial"/>
                <w:sz w:val="18"/>
                <w:szCs w:val="18"/>
                <w:b w:val="1"/>
                <w:bCs w:val="1"/>
                <w:color w:val="auto"/>
                <w:w w:val="89"/>
              </w:rPr>
              <w:t>7379</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0" w:type="dxa"/>
            <w:vAlign w:val="bottom"/>
            <w:gridSpan w:val="2"/>
          </w:tcPr>
          <w:p>
            <w:pPr>
              <w:jc w:val="center"/>
              <w:ind w:right="1280"/>
              <w:spacing w:after="0"/>
              <w:rPr>
                <w:sz w:val="20"/>
                <w:szCs w:val="20"/>
                <w:color w:val="auto"/>
              </w:rPr>
            </w:pPr>
            <w:r>
              <w:rPr>
                <w:rFonts w:ascii="Arial" w:cs="Arial" w:eastAsia="Arial" w:hAnsi="Arial"/>
                <w:sz w:val="18"/>
                <w:szCs w:val="18"/>
                <w:b w:val="1"/>
                <w:bCs w:val="1"/>
                <w:color w:val="auto"/>
              </w:rPr>
              <w:t>N/A</w:t>
            </w:r>
          </w:p>
        </w:tc>
      </w:tr>
      <w:tr>
        <w:trPr>
          <w:trHeight w:val="198"/>
        </w:trPr>
        <w:tc>
          <w:tcPr>
            <w:tcW w:w="3360" w:type="dxa"/>
            <w:vAlign w:val="bottom"/>
            <w:tcBorders>
              <w:top w:val="single" w:sz="8" w:color="auto"/>
            </w:tcBorders>
            <w:gridSpan w:val="2"/>
          </w:tcPr>
          <w:p>
            <w:pPr>
              <w:jc w:val="center"/>
              <w:ind w:left="230"/>
              <w:spacing w:after="0" w:line="198" w:lineRule="exact"/>
              <w:rPr>
                <w:sz w:val="20"/>
                <w:szCs w:val="20"/>
                <w:color w:val="auto"/>
              </w:rPr>
            </w:pPr>
            <w:r>
              <w:rPr>
                <w:rFonts w:ascii="Arial" w:cs="Arial" w:eastAsia="Arial" w:hAnsi="Arial"/>
                <w:sz w:val="18"/>
                <w:szCs w:val="18"/>
                <w:b w:val="1"/>
                <w:bCs w:val="1"/>
                <w:color w:val="auto"/>
                <w:w w:val="90"/>
              </w:rPr>
              <w:t>(Province or other jurisdiction of</w:t>
            </w:r>
          </w:p>
        </w:tc>
        <w:tc>
          <w:tcPr>
            <w:tcW w:w="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4"/>
              </w:rPr>
              <w:t>(Primary Standard Industrial</w:t>
            </w:r>
          </w:p>
        </w:tc>
        <w:tc>
          <w:tcPr>
            <w:tcW w:w="5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336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w w:val="91"/>
              </w:rPr>
              <w:t>incorporation or organization)</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0"/>
              </w:rPr>
              <w:t>Classification Code Number)</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 King Street East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902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Toronto, Ontario M5C 1C4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Canada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(647) 259-1790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and telephone number of Registrant’s principal executive offices)</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Cogency Global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 E. 42nd Street, 18th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10168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221-0102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 in the United States)</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8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38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Trading Symbol(s)</w:t>
            </w:r>
          </w:p>
        </w:tc>
        <w:tc>
          <w:tcPr>
            <w:tcW w:w="3600" w:type="dxa"/>
            <w:vAlign w:val="bottom"/>
          </w:tcPr>
          <w:p>
            <w:pPr>
              <w:jc w:val="center"/>
              <w:ind w:left="10"/>
              <w:spacing w:after="0"/>
              <w:rPr>
                <w:sz w:val="20"/>
                <w:szCs w:val="20"/>
                <w:color w:val="auto"/>
              </w:rPr>
            </w:pPr>
            <w:r>
              <w:rPr>
                <w:rFonts w:ascii="Arial" w:cs="Arial" w:eastAsia="Arial" w:hAnsi="Arial"/>
                <w:sz w:val="18"/>
                <w:szCs w:val="18"/>
                <w:color w:val="auto"/>
                <w:w w:val="89"/>
              </w:rPr>
              <w:t>Name of each exchange on which registered</w:t>
            </w:r>
          </w:p>
        </w:tc>
      </w:tr>
      <w:tr>
        <w:trPr>
          <w:trHeight w:val="216"/>
        </w:trPr>
        <w:tc>
          <w:tcPr>
            <w:tcW w:w="362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8"/>
              </w:rPr>
              <w:t>Common Shares</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7"/>
              </w:rPr>
              <w:t>BITF</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Nasdaq Stock Market LLC</w:t>
            </w:r>
          </w:p>
        </w:tc>
      </w:tr>
    </w:tbl>
    <w:p>
      <w:pPr>
        <w:spacing w:after="0" w:line="121" w:lineRule="exact"/>
        <w:rPr>
          <w:sz w:val="24"/>
          <w:szCs w:val="24"/>
          <w:color w:val="auto"/>
        </w:rPr>
      </w:pPr>
    </w:p>
    <w:p>
      <w:pPr>
        <w:jc w:val="center"/>
        <w:ind w:left="340" w:right="2240"/>
        <w:spacing w:after="0" w:line="394" w:lineRule="auto"/>
        <w:rPr>
          <w:sz w:val="20"/>
          <w:szCs w:val="20"/>
          <w:color w:val="auto"/>
        </w:rPr>
      </w:pPr>
      <w:r>
        <w:rPr>
          <w:rFonts w:ascii="Arial" w:cs="Arial" w:eastAsia="Arial" w:hAnsi="Arial"/>
          <w:sz w:val="18"/>
          <w:szCs w:val="18"/>
          <w:color w:val="auto"/>
        </w:rPr>
        <w:t>Securities registered pursuant to Section 12(g) of the Act: None Securities for which there is a reporting obligation pursuant to Section 15(d) of the Act: None For annual reports, indicate by check mark the information filed with this Form:</w:t>
      </w:r>
    </w:p>
    <w:p>
      <w:pPr>
        <w:spacing w:after="0" w:line="1" w:lineRule="exact"/>
        <w:rPr>
          <w:sz w:val="24"/>
          <w:szCs w:val="24"/>
          <w:color w:val="auto"/>
        </w:rPr>
      </w:pPr>
    </w:p>
    <w:p>
      <w:pPr>
        <w:ind w:left="1780"/>
        <w:spacing w:after="0" w:line="207" w:lineRule="exact"/>
        <w:tabs>
          <w:tab w:leader="none" w:pos="70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Annual information form</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Audited annual financial statements</w:t>
      </w:r>
    </w:p>
    <w:p>
      <w:pPr>
        <w:spacing w:after="0" w:line="17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 There were 194,805,893 of the Registrant’s common shares outstanding as of December 31, 2021.</w:t>
      </w:r>
    </w:p>
    <w:p>
      <w:pPr>
        <w:spacing w:after="0" w:line="8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w:t>
      </w:r>
    </w:p>
    <w:p>
      <w:pPr>
        <w:spacing w:after="0" w:line="70"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0" w:lineRule="exact"/>
        <w:rPr>
          <w:sz w:val="24"/>
          <w:szCs w:val="24"/>
          <w:color w:val="auto"/>
        </w:rPr>
      </w:pPr>
    </w:p>
    <w:p>
      <w:pPr>
        <w:ind w:left="51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emerging growth company as defined in Rule 12b-2 of the Exchange Act.</w:t>
      </w:r>
    </w:p>
    <w:p>
      <w:pPr>
        <w:spacing w:after="0" w:line="111"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3" w:lineRule="exact"/>
        <w:rPr>
          <w:sz w:val="24"/>
          <w:szCs w:val="24"/>
          <w:color w:val="auto"/>
        </w:rPr>
      </w:pPr>
    </w:p>
    <w:p>
      <w:pPr>
        <w:ind w:firstLine="8"/>
        <w:spacing w:after="0" w:line="277" w:lineRule="auto"/>
        <w:tabs>
          <w:tab w:leader="none" w:pos="17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8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391160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Bitfarms Ltd. (the “Registrant”) is a Canadian issuer whose common shares are listed on the TSX Venture Exchange and is eligible to file this annual report (the “Annual Report”) pursuant to Section 12 of the Securities Exchange Act of 1934, as amended (the “Exchange Act”), on Form 40-F pursuant to the U.S.-Canadian Multijurisdictional Disclosure System. The Registrant is a “foreign private issuer” as defined in Rule 3b-4 under the Exchange Act. Equity securities of the Registrant are accordingly exempt from Sections 14(a), 14(b), 14(c), 14(f) and 16 of the Exchange Act pursuant to Rule 3a12-3. This Annual Report is incorporated by reference into the Registrant’s Registration Statement on Form F-10 (File No. 333-258788).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Annual Report and the exhibits incorporated by reference herein contain forward-looking statements or information (collectively, “forward-looking statements”). All statements, other than statements of historical fact, incorporated by reference are forward-looking information. Any statements that express, or involve discussions as to, expectations, beliefs, plans, objectives, assumptions or future events or performance (often, but not always, through the use of words or phrases including, but not limited to, and including grammatical tense variations of such words as: “may”, “anticipates”, “is expected to”, “estimates”, “intends”, “plans”, “projection”, “could”, “vision”, “goals”, “objective” and “outlook”) are not historical facts and may be forward-looking and may involve estimates, assumptions and uncertainties which could cause actual results or outcomes to differ materially from those expressed in the forward-looking statements. In making these forward-looking statements, the Registrant has assumed that the current market will continue and grow and that the risks listed below will not adversely impact the Registrant.</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By their nature, forward-looking statements involve numerous assumptions, inherent risks and uncertainties, both general and specific, which contribute to the possibility that the predicted outcomes may not occur or may be delayed. Forward-looking statements may relate to future financial conditions, results of operations, plans, objectives, performance or business developments. These statements speak only as of the date they are made and are based on information currently available and on the then current expectations and assumptions concerning future events, which are subject to a number of known and unknown risks, uncertainties and other factors that may cause actual results, performance or achievements to be materially different from that which was expressed or implied by such forward-looking statements, including, but not limited to, risks and uncertainties related to:</w:t>
      </w:r>
    </w:p>
    <w:p>
      <w:pPr>
        <w:spacing w:after="0" w:line="164" w:lineRule="exact"/>
        <w:rPr>
          <w:sz w:val="20"/>
          <w:szCs w:val="20"/>
          <w:color w:val="auto"/>
        </w:rPr>
      </w:pPr>
    </w:p>
    <w:p>
      <w:pPr>
        <w:ind w:left="700" w:hanging="328"/>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availability of financing opportunities, risks associated with economic conditions, dependence on management and conflicts of interest;</w:t>
      </w:r>
    </w:p>
    <w:p>
      <w:pPr>
        <w:spacing w:after="0" w:line="236" w:lineRule="exact"/>
        <w:rPr>
          <w:rFonts w:ascii="Arial" w:cs="Arial" w:eastAsia="Arial" w:hAnsi="Arial"/>
          <w:sz w:val="17"/>
          <w:szCs w:val="17"/>
          <w:color w:val="auto"/>
        </w:rPr>
      </w:pPr>
    </w:p>
    <w:p>
      <w:pPr>
        <w:ind w:left="700" w:hanging="32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service debt obligations and maintain flexibility in respect of debt covenants;</w:t>
      </w:r>
    </w:p>
    <w:p>
      <w:pPr>
        <w:spacing w:after="0" w:line="225" w:lineRule="exact"/>
        <w:rPr>
          <w:rFonts w:ascii="Arial" w:cs="Arial" w:eastAsia="Arial" w:hAnsi="Arial"/>
          <w:sz w:val="18"/>
          <w:szCs w:val="18"/>
          <w:color w:val="auto"/>
        </w:rPr>
      </w:pPr>
    </w:p>
    <w:p>
      <w:pPr>
        <w:ind w:left="700" w:hanging="32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dependence on regulated terms of service and electricity rates;</w:t>
      </w:r>
    </w:p>
    <w:p>
      <w:pPr>
        <w:spacing w:after="0" w:line="225" w:lineRule="exact"/>
        <w:rPr>
          <w:rFonts w:ascii="Arial" w:cs="Arial" w:eastAsia="Arial" w:hAnsi="Arial"/>
          <w:sz w:val="18"/>
          <w:szCs w:val="18"/>
          <w:color w:val="auto"/>
        </w:rPr>
      </w:pPr>
    </w:p>
    <w:p>
      <w:pPr>
        <w:ind w:left="700" w:hanging="32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speculative and competitive nature of the technology sector;</w:t>
      </w:r>
    </w:p>
    <w:p>
      <w:pPr>
        <w:spacing w:after="0" w:line="225" w:lineRule="exact"/>
        <w:rPr>
          <w:rFonts w:ascii="Arial" w:cs="Arial" w:eastAsia="Arial" w:hAnsi="Arial"/>
          <w:sz w:val="18"/>
          <w:szCs w:val="18"/>
          <w:color w:val="auto"/>
        </w:rPr>
      </w:pPr>
    </w:p>
    <w:p>
      <w:pPr>
        <w:ind w:left="700" w:hanging="32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dependency in continued growth in blockchain and cryptocurrency usage;</w:t>
      </w:r>
    </w:p>
    <w:p>
      <w:pPr>
        <w:spacing w:after="0" w:line="225" w:lineRule="exact"/>
        <w:rPr>
          <w:rFonts w:ascii="Arial" w:cs="Arial" w:eastAsia="Arial" w:hAnsi="Arial"/>
          <w:sz w:val="18"/>
          <w:szCs w:val="18"/>
          <w:color w:val="auto"/>
        </w:rPr>
      </w:pPr>
    </w:p>
    <w:p>
      <w:pPr>
        <w:ind w:left="700" w:hanging="32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lawsuits and other legal proceedings and challenges;</w:t>
      </w:r>
    </w:p>
    <w:p>
      <w:pPr>
        <w:spacing w:after="0" w:line="225" w:lineRule="exact"/>
        <w:rPr>
          <w:rFonts w:ascii="Arial" w:cs="Arial" w:eastAsia="Arial" w:hAnsi="Arial"/>
          <w:sz w:val="18"/>
          <w:szCs w:val="18"/>
          <w:color w:val="auto"/>
        </w:rPr>
      </w:pPr>
    </w:p>
    <w:p>
      <w:pPr>
        <w:ind w:left="700" w:hanging="32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conflict of interests with directors and management;</w:t>
      </w:r>
    </w:p>
    <w:p>
      <w:pPr>
        <w:spacing w:after="0" w:line="225" w:lineRule="exact"/>
        <w:rPr>
          <w:rFonts w:ascii="Arial" w:cs="Arial" w:eastAsia="Arial" w:hAnsi="Arial"/>
          <w:sz w:val="18"/>
          <w:szCs w:val="18"/>
          <w:color w:val="auto"/>
        </w:rPr>
      </w:pPr>
    </w:p>
    <w:p>
      <w:pPr>
        <w:ind w:left="700" w:hanging="32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regulations;</w:t>
      </w:r>
    </w:p>
    <w:p>
      <w:pPr>
        <w:spacing w:after="0" w:line="225" w:lineRule="exact"/>
        <w:rPr>
          <w:rFonts w:ascii="Arial" w:cs="Arial" w:eastAsia="Arial" w:hAnsi="Arial"/>
          <w:sz w:val="18"/>
          <w:szCs w:val="18"/>
          <w:color w:val="auto"/>
        </w:rPr>
      </w:pPr>
    </w:p>
    <w:p>
      <w:pPr>
        <w:ind w:left="700" w:hanging="32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described in this Annual Report and the exhibits incorporated by reference herein; and</w:t>
      </w:r>
    </w:p>
    <w:p>
      <w:pPr>
        <w:spacing w:after="0" w:line="225" w:lineRule="exact"/>
        <w:rPr>
          <w:rFonts w:ascii="Arial" w:cs="Arial" w:eastAsia="Arial" w:hAnsi="Arial"/>
          <w:sz w:val="18"/>
          <w:szCs w:val="18"/>
          <w:color w:val="auto"/>
        </w:rPr>
      </w:pPr>
    </w:p>
    <w:p>
      <w:pPr>
        <w:ind w:left="700" w:hanging="32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beyond the Registrant’s control.</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Other factors which may cause the actual results, performance or achievements of the Registrant to be materially different from any future results, performance or achievements expressed or implied by such forward-looking information include, among others, risks relating to: the Registrant’s limited operating history; future capital needs and uncertainty of additional financing; share price fluctuations; the need for the Registrant to manage its planned growth and expansion; cybersecurity threats and hacking; possibility of cessation of monetization of cryptocurrencies; limited history of de-centralized financial system; technological obsolescence and difficulty in obtaining hardware; price volatility of cryptocurrencies; the May 2020 and any future bitcoin halving events cryptocurrency network difficulty and impact of increased global computing power; economic dependence on regulated terms of service and electricity rates risks; future profits/losses and production revenues/expenses; cryptocurrency exchanges are new and mostly unregulated; discretion regarding by the Registrant of available funds; political and regulatory risk; permits and licenses; server failures; global financial conditions; tax consequences; environmental regulations; environmental liability; erroneous transactions and human error; the continued development of existing and planned facilities; risks of non-availability of insurance; competition; reliance on key personnel; credit risk; uncertainty of widespread use of cryptocurrency; interest rate risk; fluctuations in currency exchange rates; controlling shareholder risk; and COVID-19 pandemic risk. Particular factors which could impact future results of the business of the Registrant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the volatility of digital currency prices; the anticipated sustainability of hydroelectricity at economical prices for the purposes of cryptocurrency mining in the Province of Québec, Washington state and Paraguay; the ability to complete current and future financings; any regulations or laws that will prevent the Registrant from operating its business; historical prices of digital currencies and the ability to mine digital currencies that will be consistent with historical prices.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both"/>
        <w:spacing w:after="0" w:line="269" w:lineRule="auto"/>
        <w:rPr>
          <w:sz w:val="20"/>
          <w:szCs w:val="20"/>
          <w:color w:val="auto"/>
        </w:rPr>
      </w:pPr>
      <w:r>
        <w:rPr>
          <w:rFonts w:ascii="Arial" w:cs="Arial" w:eastAsia="Arial" w:hAnsi="Arial"/>
          <w:sz w:val="17"/>
          <w:szCs w:val="17"/>
          <w:color w:val="auto"/>
        </w:rPr>
        <w:t>A description of assumptions used to develop such forward-looking information and a description of additional risk factors that may cause actual results to differ materially from forward-looking information can be found in the Registrant’s disclosure documents, such as the Registrant’s Annual Information Form for the year ended December 31, 2021, dated March 28, 2022, on the SEDAR website at www.sedar.com, attached hereto as Exhibit 99.1. Although the Registrant has attempted to identify important factors that could cause actual results to differ materially from those contained in forward-looking information, there may be other factors that cause results not to be as anticipated, estimated or intended. Readers are cautioned that the foregoing list of factors is not exhaustive. Readers are further cautioned not to place undue reliance on forward-looking information as there can be no assurance that the plans, intentions or expectations upon which they are placed will occur. Forward-looking information contained this Annual Report and the exhibits incorporated by reference herein are expressly qualified by this cautionary statement. The forward-looking statements contained in this Annual Report and the exhibits incorporated by reference herein represents the expectations of the Registrant as of the date of this Annual Report or the applicable exhibit incorporated by reference herein and, accordingly, is subject to change after such date. However, the Registrant expressly disclaims any intention or obligation to update or revise any forward-looking statements, whether as a result of new information, future events or otherwise, except as expressly required by applicable securities law.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DIFFERENCES IN UNITED STATES AND CANADIAN REPORTING PRACTICES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Registrant is permitted, under a multijurisdictional disclosure system adopted by the United States, to prepare this report in accordance with Canadian disclosure requirements, which are different from those of the United States. The Registrant prepares its financial statements in accordance with International Financial Reporting Standards as issued by the International Accounting Standards Board (“IFRS”), and the audit is subject to Public Company Accounting Oversight Board auditing standards. IFRS differs in certain respects from United States generally accepted accounting principles (“U.S. GAAP”) and from practices prescribed by the Securities and Exchange Commission (the “SEC”). Therefore, the Registrant’s financial statements filed with this Annual Report may not be comparable to financial statements prepared in accordance with U.S. GAAP.</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all dollar amounts in this Annual Report on Form 40-F are in United States dollars.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INFORMATION FORM</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Registrant’s Annual Information Form for the year ended December 31, 2021 is attached as Exhibit 99.1 to this Annual Report on Form 40-F and is incorporated by reference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AUDITED ANNUAL FINANCIAL STATEMENTS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Registrant’s audited annual consolidated financial statements as at and for the years ended December 31, 2021 and 2020, is attached as Exhibit 99.2 to this Annual Report on Form 40-F and are incorporated by reference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Registrant’s Management’s Discussion and Analysis for the year ended December 31, 2021 is attached as Exhibit 99.3 to this Annual Report on Form 40-F and is incorporated by reference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the end of the period covered by this Annual Report, the Registrant carried out an evaluation, under the supervision of the Registrant’s Chief Executive Officer and Chief Financial Officer, of the effectiveness of the Registrant’s disclosure controls and procedures (as defined in Rules 13a-15(e) and 15d-15(e) of the Exchange Act). Based upon that evaluation, the Registrant’s Chief Executive Officer and Chief Financial Officer have concluded that, as of the end of the period covered by this Annual Report, the Registrant’s disclosure controls and procedures are effective to ensure that information required to be disclosed by the Registrant in reports that it files or submits under the Exchange Act is (i) recorded, processed, summarized and reported within the time periods specified in SEC rules and forms, and (ii) accumulated and communicated to the Registrant’s management, including its principal executive officer and principal financial officer, to allow timely decisions regarding required disclosure.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 Registrant’s principal executive officer and principal financial officer believe that the Registrant’s disclosure controls and procedures provide a reasonable level of assurance that they are effective, they do not expect that the Registrant’s disclosure controls and procedures or internal control over financial reporting will prevent all errors or fraud. A control system, no matter how well conceived or operated, can provide only reasonable, not absolute, assurance that the objectives of the control system are met.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ind w:left="330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This Annual Report does not include a report of management’s assessment regarding internal control over financial reporting or an attestation report of the Registrant’s registered public accounting firm due to a transition period established by rules of the SEC for newly public companies.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Management has not identified any change in the Registrant’s internal control over financial reporting that occurred during the fiscal year ending December 31, 2021, that has materially affected, or is reasonably likely to materially affect, the Registrant’s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Attestation Report of the Registered Public Accounting Firm</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Jumpstart Our Business Startups Act, “emerging growth companies” are exempt from Section 404(b) of the Sarbanes-Oxley Act of 2002, which generally requires that a public company’s registered public accounting firm provide an attestation report relating to management’s assessment of internal control over financial reporting. The Registrant qualifies as an “emerging growth company” and, therefore, has not included in, or incorporated by reference into, this Annual Report such an attestation report as of the end of the period covered by this Annual Report.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 PURSUANT TO REGULATION BTR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Registrant was not required by Rule 104 of Regulation BTR to send any notices to any of its directors or executive officers during the fiscal year ended December 31, 2021.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the Audit Committee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of Directors has a separately designated standing Audit Committee established for the purpose of overseeing the accounting and financial reporting processes of the Registrant and audits of the financial statements of the Registrant in accordance with Section 3(a)(58)(A) of the Exchange Act and Rule 5602(c) of the NASDAQ Stock Market Rules. As of the date of this Annual Report, the Registrant’s Audit Committee is comprised of Brian Howlett, Pierre Seccareccia and Andres Finkielsztain. Messrs. Howlett, Seccareccia and Finkielsztain are considered independent based on the criteria for independence prescribed by Rule 10A-3 of the Exchange Act and Rule 5605(a)(2) of the listing rules of the Nasdaq Stock Market LLC (the “Nasdaq Stock Market Rules”).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of Directors has also determined that each member of the Audit Committee is financially literate, meaning each such member has the ability to read and understand a set of financial statements that present a breadth and level of complexity of the issues that can reasonably be expected to be raised by the Registrant’s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 Financial Expert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of Directors has determined that Pierre Seccareccia qualifies as a financial expert (as defined in Item 407(d)(5)(ii) of Regulation S-K under the Exchange Act) and Rule 5605(c)(2)(A) of the Nasdaq Stock Market Rules; and (ii) is independent (as determined under Exchange Act Rule 10A-3 and Rule 5605(a)(2) of the Nasdaq Stock Market Rules).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 has indicated that the designation or identification of a person as an audit committee financial expert does not make such person an “expert” for any purpose, impose any duties, obligations or liability on such person that are greater than those imposed on members of the audit committee and the board of directors who do not carry this designation or identification, or affect the duties, obligations or liability of any other member of the audit committee or board of directors.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Registrant has adopted a Code of Business Conduct and Ethics that applies to directors, officers and employees of, and consultants to, the Registrant (the “Code”). The Code is posted on the Registrant’s website at http://www.bitfarms.com/company/#corporate-governance. The Code meets the requirements for a “code of ethics” within the meaning of that term in General Instruction 9(b) of Form 40-F.</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waivers of the Code with respect to any of the employees, officers or directors covered by it will be promptly disclosed as required by applicable securities rules and regulations. Since adopted by the Registrant, and until December 31, 2021, the Registrant did not waive or implicitly waive any provision of the Code with respect to any of the Registrant’s principal executive officer, principal financial officer, principal accounting officer or controller, or persons performing similar functions.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 sets out the fees billed to the Registrant by PricewaterhouseCoopers LLP for professional services rendered for the fiscal years ended December 31, 2021 and December 31, 2020. During each of those periods, PricewaterhouseCoopers LLP was the Registrant's only external auditor.</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Year Ended</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(in Canadian dollars)</w:t>
            </w:r>
          </w:p>
        </w:tc>
        <w:tc>
          <w:tcPr>
            <w:tcW w:w="10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189,000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nil</w:t>
            </w:r>
          </w:p>
        </w:tc>
        <w:tc>
          <w:tcPr>
            <w:tcW w:w="100" w:type="dxa"/>
            <w:vAlign w:val="bottom"/>
          </w:tcPr>
          <w:p>
            <w:pPr>
              <w:spacing w:after="0"/>
              <w:rPr>
                <w:sz w:val="19"/>
                <w:szCs w:val="19"/>
                <w:color w:val="auto"/>
              </w:rPr>
            </w:pP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Fees Paid</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professional services rendered for the audit of our year-end financial statements services that are normally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PricewaterhouseCoopers LLP in connection with statutory and regulatory filings.</w:t>
      </w:r>
    </w:p>
    <w:p>
      <w:pPr>
        <w:spacing w:after="0" w:line="17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i w:val="1"/>
          <w:iCs w:val="1"/>
          <w:color w:val="auto"/>
        </w:rPr>
        <w:t xml:space="preserve">Audit-Related Fees: </w:t>
      </w:r>
      <w:r>
        <w:rPr>
          <w:rFonts w:ascii="Arial" w:cs="Arial" w:eastAsia="Arial" w:hAnsi="Arial"/>
          <w:sz w:val="16"/>
          <w:szCs w:val="16"/>
          <w:color w:val="auto"/>
        </w:rPr>
        <w:t>Audit-related services consist of fees billed by PricewaterhouseCoopers LLP for assurance and related services, including quarterly</w:t>
      </w:r>
      <w:r>
        <w:rPr>
          <w:rFonts w:ascii="Arial" w:cs="Arial" w:eastAsia="Arial" w:hAnsi="Arial"/>
          <w:sz w:val="16"/>
          <w:szCs w:val="16"/>
          <w:i w:val="1"/>
          <w:iCs w:val="1"/>
          <w:color w:val="auto"/>
        </w:rPr>
        <w:t xml:space="preserve"> </w:t>
      </w:r>
      <w:r>
        <w:rPr>
          <w:rFonts w:ascii="Arial" w:cs="Arial" w:eastAsia="Arial" w:hAnsi="Arial"/>
          <w:sz w:val="16"/>
          <w:szCs w:val="16"/>
          <w:color w:val="auto"/>
        </w:rPr>
        <w:t>reviews, that are reasonably related to the performance of the audit or review of our financial statements and are not reported under “Audit Fees.” These services include attestation services that are not required by statute or regulation and consultations concerning financial accounting and reporting standards.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consist of fees billed by PricewaterhouseCoopers LLP for professional tax services. These services also include assistance regarding</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state, and local tax compliance.</w:t>
      </w:r>
    </w:p>
    <w:p>
      <w:pPr>
        <w:spacing w:after="0" w:line="170" w:lineRule="exact"/>
        <w:rPr>
          <w:sz w:val="20"/>
          <w:szCs w:val="20"/>
          <w:color w:val="auto"/>
        </w:rPr>
      </w:pPr>
    </w:p>
    <w:p>
      <w:pPr>
        <w:jc w:val="center"/>
        <w:ind w:right="140"/>
        <w:spacing w:after="0"/>
        <w:rPr>
          <w:sz w:val="20"/>
          <w:szCs w:val="20"/>
          <w:color w:val="auto"/>
        </w:rPr>
      </w:pPr>
      <w:r>
        <w:rPr>
          <w:rFonts w:ascii="Arial" w:cs="Arial" w:eastAsia="Arial" w:hAnsi="Arial"/>
          <w:sz w:val="16"/>
          <w:szCs w:val="16"/>
          <w:i w:val="1"/>
          <w:iCs w:val="1"/>
          <w:color w:val="auto"/>
        </w:rPr>
        <w:t xml:space="preserve">All Other Fees: </w:t>
      </w:r>
      <w:r>
        <w:rPr>
          <w:rFonts w:ascii="Arial" w:cs="Arial" w:eastAsia="Arial" w:hAnsi="Arial"/>
          <w:sz w:val="16"/>
          <w:szCs w:val="16"/>
          <w:color w:val="auto"/>
        </w:rPr>
        <w:t>Other fees would include fees for products and services provided by PricewaterhouseCoopers LLP other than the services reported above.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PRE-APPROVAL OF SERVICES PROVIDED BY INDEPENDENT AUDITOR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pre-approves all audit and non-audit services to be provided to the Registrant by its independent registered public accounting firm.</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sets forth its pre-approval and/or confirmation of services authorized by the audit committee in the minutes of its meetings.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NASDAQ CORPORATE GOVERNANCE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foreign private issuer that follows home country practices in lieu of certain provisions of the Nasdaq Stock Market Rules must disclose the ways in which its corporate governance practices differ from those followed by U.S. domestic companies. As required by Nasdaq Rule 5615(a)(3), the Registrant discloses on its website, www.bitfarms.com, each requirement of the Nasdaq Stock Market Rules that it does not follow and describes the home country practice followed in lieu of such requirements.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REGARIDNG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UNDERTAKING AND CONSENT TO SERVICE OF PROCESS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 Undertaking. </w:t>
      </w:r>
      <w:r>
        <w:rPr>
          <w:rFonts w:ascii="Arial" w:cs="Arial" w:eastAsia="Arial" w:hAnsi="Arial"/>
          <w:sz w:val="18"/>
          <w:szCs w:val="18"/>
          <w:color w:val="auto"/>
        </w:rPr>
        <w:t>The Registrant undertakes to make available, in person or by telephone, representatives to respond to inquiries made by the SEC staff, and</w:t>
      </w:r>
      <w:r>
        <w:rPr>
          <w:rFonts w:ascii="Arial" w:cs="Arial" w:eastAsia="Arial" w:hAnsi="Arial"/>
          <w:sz w:val="18"/>
          <w:szCs w:val="18"/>
          <w:i w:val="1"/>
          <w:iCs w:val="1"/>
          <w:color w:val="auto"/>
        </w:rPr>
        <w:t xml:space="preserve"> </w:t>
      </w:r>
      <w:r>
        <w:rPr>
          <w:rFonts w:ascii="Arial" w:cs="Arial" w:eastAsia="Arial" w:hAnsi="Arial"/>
          <w:sz w:val="18"/>
          <w:szCs w:val="18"/>
          <w:color w:val="auto"/>
        </w:rPr>
        <w:t>to furnish promptly, when requested to do so by the SEC staff, information relating to the securities registered pursuant to Form 40-F or transactions in said securities.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B. Consent to Service of Process. </w:t>
      </w:r>
      <w:r>
        <w:rPr>
          <w:rFonts w:ascii="Arial" w:cs="Arial" w:eastAsia="Arial" w:hAnsi="Arial"/>
          <w:sz w:val="18"/>
          <w:szCs w:val="18"/>
          <w:color w:val="auto"/>
        </w:rPr>
        <w:t>The Registrant has previously filed a Form F-X in connection with its common shares. Any change to the name or</w:t>
      </w:r>
      <w:r>
        <w:rPr>
          <w:rFonts w:ascii="Arial" w:cs="Arial" w:eastAsia="Arial" w:hAnsi="Arial"/>
          <w:sz w:val="18"/>
          <w:szCs w:val="18"/>
          <w:i w:val="1"/>
          <w:iCs w:val="1"/>
          <w:color w:val="auto"/>
        </w:rPr>
        <w:t xml:space="preserve"> </w:t>
      </w:r>
      <w:r>
        <w:rPr>
          <w:rFonts w:ascii="Arial" w:cs="Arial" w:eastAsia="Arial" w:hAnsi="Arial"/>
          <w:sz w:val="18"/>
          <w:szCs w:val="18"/>
          <w:color w:val="auto"/>
        </w:rPr>
        <w:t>address of the Registrant’s agent for service shall be communicated promptly to the Commission by amendment to the Form F-X referencing the file number of the Registrant.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120" w:type="dxa"/>
            <w:vAlign w:val="bottom"/>
            <w:gridSpan w:val="8"/>
          </w:tcPr>
          <w:p>
            <w:pPr>
              <w:ind w:left="80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1240" w:type="dxa"/>
            <w:vAlign w:val="bottom"/>
            <w:gridSpan w:val="11"/>
          </w:tcPr>
          <w:p>
            <w:pPr>
              <w:spacing w:after="0"/>
              <w:rPr>
                <w:sz w:val="20"/>
                <w:szCs w:val="20"/>
                <w:color w:val="auto"/>
              </w:rPr>
            </w:pPr>
            <w:r>
              <w:rPr>
                <w:rFonts w:ascii="Arial" w:cs="Arial" w:eastAsia="Arial" w:hAnsi="Arial"/>
                <w:sz w:val="18"/>
                <w:szCs w:val="18"/>
                <w:color w:val="auto"/>
              </w:rPr>
              <w:t>The following documents are being filed with the Commission as Exhibits to this Registration Statement:</w:t>
            </w:r>
          </w:p>
        </w:tc>
      </w:tr>
      <w:tr>
        <w:trPr>
          <w:trHeight w:val="439"/>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980" w:type="dxa"/>
            <w:vAlign w:val="bottom"/>
          </w:tcPr>
          <w:p>
            <w:pPr>
              <w:spacing w:after="0"/>
              <w:rPr>
                <w:sz w:val="24"/>
                <w:szCs w:val="24"/>
                <w:color w:val="auto"/>
              </w:rPr>
            </w:pPr>
          </w:p>
        </w:tc>
        <w:tc>
          <w:tcPr>
            <w:tcW w:w="7120" w:type="dxa"/>
            <w:vAlign w:val="bottom"/>
            <w:gridSpan w:val="8"/>
          </w:tcPr>
          <w:p>
            <w:pPr>
              <w:ind w:left="162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5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Annual Information Form for the year ended December 31,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98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99.2</w:t>
            </w: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Audited Consolidated Financial Statements as at and for the years ended December 31, 2021 and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98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99.3</w:t>
            </w: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rFonts w:ascii="Arial" w:cs="Arial" w:eastAsia="Arial" w:hAnsi="Arial"/>
                <w:sz w:val="18"/>
                <w:szCs w:val="18"/>
                <w:color w:val="0000EE"/>
              </w:rPr>
            </w:pPr>
            <w:hyperlink w:anchor="page119">
              <w:r>
                <w:rPr>
                  <w:rFonts w:ascii="Arial" w:cs="Arial" w:eastAsia="Arial" w:hAnsi="Arial"/>
                  <w:sz w:val="18"/>
                  <w:szCs w:val="18"/>
                  <w:color w:val="0000EE"/>
                </w:rPr>
                <w:t>Management’s Discussion and Analysis for the year ended December 31,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98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99.4</w:t>
            </w: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rFonts w:ascii="Arial" w:cs="Arial" w:eastAsia="Arial" w:hAnsi="Arial"/>
                <w:sz w:val="18"/>
                <w:szCs w:val="18"/>
                <w:color w:val="0000EE"/>
                <w:w w:val="92"/>
              </w:rPr>
            </w:pPr>
            <w:hyperlink w:anchor="page159">
              <w:r>
                <w:rPr>
                  <w:rFonts w:ascii="Arial" w:cs="Arial" w:eastAsia="Arial" w:hAnsi="Arial"/>
                  <w:sz w:val="18"/>
                  <w:szCs w:val="18"/>
                  <w:color w:val="0000EE"/>
                  <w:w w:val="92"/>
                </w:rPr>
                <w:t>Certification of Chief Executive Officer pursuant to Rule 13a-14(a) or 15d-14(a) of the U.S. Securities Exchange Act of 1934, as amended</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98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99.5</w:t>
            </w: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rFonts w:ascii="Arial" w:cs="Arial" w:eastAsia="Arial" w:hAnsi="Arial"/>
                <w:sz w:val="18"/>
                <w:szCs w:val="18"/>
                <w:color w:val="0000EE"/>
                <w:w w:val="92"/>
              </w:rPr>
            </w:pPr>
            <w:hyperlink w:anchor="page160">
              <w:r>
                <w:rPr>
                  <w:rFonts w:ascii="Arial" w:cs="Arial" w:eastAsia="Arial" w:hAnsi="Arial"/>
                  <w:sz w:val="18"/>
                  <w:szCs w:val="18"/>
                  <w:color w:val="0000EE"/>
                  <w:w w:val="92"/>
                </w:rPr>
                <w:t>Certification of Chief Financial Officer pursuant to Rule 13a-14(a) or 15d-14(a) of the U.S. Securities Exchange Act of 1934, as amended</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98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5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99.6</w:t>
            </w: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rFonts w:ascii="Arial" w:cs="Arial" w:eastAsia="Arial" w:hAnsi="Arial"/>
                <w:sz w:val="18"/>
                <w:szCs w:val="18"/>
                <w:color w:val="0000EE"/>
              </w:rPr>
            </w:pPr>
            <w:hyperlink w:anchor="page161">
              <w:r>
                <w:rPr>
                  <w:rFonts w:ascii="Arial" w:cs="Arial" w:eastAsia="Arial" w:hAnsi="Arial"/>
                  <w:sz w:val="18"/>
                  <w:szCs w:val="18"/>
                  <w:color w:val="0000EE"/>
                </w:rPr>
                <w:t>Certification of Chief Executive Officer pursuant to Section 906 of the Sarbanes-Oxley Act of 2002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98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99.7</w:t>
            </w: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rFonts w:ascii="Arial" w:cs="Arial" w:eastAsia="Arial" w:hAnsi="Arial"/>
                <w:sz w:val="18"/>
                <w:szCs w:val="18"/>
                <w:color w:val="0000EE"/>
              </w:rPr>
            </w:pPr>
            <w:hyperlink w:anchor="page162">
              <w:r>
                <w:rPr>
                  <w:rFonts w:ascii="Arial" w:cs="Arial" w:eastAsia="Arial" w:hAnsi="Arial"/>
                  <w:sz w:val="18"/>
                  <w:szCs w:val="18"/>
                  <w:color w:val="0000EE"/>
                </w:rPr>
                <w:t>Certification of Chief Financial Officer pursuant to Section 906 of the Sarbanes-Oxley Act of 2002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98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99.8</w:t>
            </w: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rFonts w:ascii="Arial" w:cs="Arial" w:eastAsia="Arial" w:hAnsi="Arial"/>
                <w:sz w:val="18"/>
                <w:szCs w:val="18"/>
                <w:color w:val="0000EE"/>
              </w:rPr>
            </w:pPr>
            <w:hyperlink w:anchor="page163">
              <w:r>
                <w:rPr>
                  <w:rFonts w:ascii="Arial" w:cs="Arial" w:eastAsia="Arial" w:hAnsi="Arial"/>
                  <w:sz w:val="18"/>
                  <w:szCs w:val="18"/>
                  <w:color w:val="0000EE"/>
                </w:rPr>
                <w:t>Consent of PricewaterhouseCoopers LLP</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980" w:type="dxa"/>
            <w:vAlign w:val="bottom"/>
            <w:tcBorders>
              <w:top w:val="single" w:sz="8" w:color="0000EE"/>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2" w:lineRule="exact"/>
        <w:rPr>
          <w:sz w:val="20"/>
          <w:szCs w:val="20"/>
          <w:color w:val="auto"/>
        </w:rPr>
      </w:pPr>
    </w:p>
    <w:p>
      <w:pPr>
        <w:ind w:left="5580" w:right="3560" w:hanging="5572"/>
        <w:spacing w:after="0" w:line="778" w:lineRule="auto"/>
        <w:tabs>
          <w:tab w:leader="none" w:pos="1143"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-842645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certifies that it meets all of the requirements for filing on Form 40-F and has duly caused this Annual Report to be signed on its behalf by the undersigned, thereto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702945</wp:posOffset>
            </wp:positionV>
            <wp:extent cx="2648585" cy="6940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4858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BITFARMS LTD.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u w:val="single" w:color="auto"/>
          <w:color w:val="auto"/>
        </w:rPr>
        <w:t>ANNUAL INFORMATION FORM</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FOR THE FISCAL YEAR ENDED DECEMBER 31, 2021</w:t>
      </w:r>
    </w:p>
    <w:p>
      <w:pPr>
        <w:spacing w:after="0" w:line="23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March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1405890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9560" w:type="dxa"/>
            <w:vAlign w:val="bottom"/>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1680" w:type="dxa"/>
            <w:vAlign w:val="bottom"/>
          </w:tcPr>
          <w:p>
            <w:pPr>
              <w:spacing w:after="0"/>
              <w:rPr>
                <w:sz w:val="20"/>
                <w:szCs w:val="20"/>
                <w:color w:val="auto"/>
              </w:rPr>
            </w:pPr>
          </w:p>
        </w:tc>
      </w:tr>
      <w:tr>
        <w:trPr>
          <w:trHeight w:val="216"/>
        </w:trPr>
        <w:tc>
          <w:tcPr>
            <w:tcW w:w="95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TABLE OF CONTENTS</w:t>
            </w:r>
          </w:p>
        </w:tc>
        <w:tc>
          <w:tcPr>
            <w:tcW w:w="168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79"/>
              </w:rPr>
              <w:t>1</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GLOSSARY OF DEFINED TERMS</w:t>
            </w:r>
          </w:p>
        </w:tc>
        <w:tc>
          <w:tcPr>
            <w:tcW w:w="1680" w:type="dxa"/>
            <w:vAlign w:val="bottom"/>
          </w:tcPr>
          <w:p>
            <w:pPr>
              <w:jc w:val="center"/>
              <w:ind w:left="470"/>
              <w:spacing w:after="0"/>
              <w:rPr>
                <w:sz w:val="20"/>
                <w:szCs w:val="20"/>
                <w:color w:val="auto"/>
              </w:rPr>
            </w:pPr>
            <w:r>
              <w:rPr>
                <w:rFonts w:ascii="Arial" w:cs="Arial" w:eastAsia="Arial" w:hAnsi="Arial"/>
                <w:sz w:val="18"/>
                <w:szCs w:val="18"/>
                <w:color w:val="auto"/>
                <w:w w:val="79"/>
              </w:rPr>
              <w:t>2</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GENERAL</w:t>
            </w:r>
          </w:p>
        </w:tc>
        <w:tc>
          <w:tcPr>
            <w:tcW w:w="168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79"/>
              </w:rPr>
              <w:t>7</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STATEMENT REGARDING FORWARD LOOKING STATEMENTS</w:t>
            </w:r>
          </w:p>
        </w:tc>
        <w:tc>
          <w:tcPr>
            <w:tcW w:w="1680" w:type="dxa"/>
            <w:vAlign w:val="bottom"/>
          </w:tcPr>
          <w:p>
            <w:pPr>
              <w:jc w:val="center"/>
              <w:ind w:left="470"/>
              <w:spacing w:after="0"/>
              <w:rPr>
                <w:sz w:val="20"/>
                <w:szCs w:val="20"/>
                <w:color w:val="auto"/>
              </w:rPr>
            </w:pPr>
            <w:r>
              <w:rPr>
                <w:rFonts w:ascii="Arial" w:cs="Arial" w:eastAsia="Arial" w:hAnsi="Arial"/>
                <w:sz w:val="18"/>
                <w:szCs w:val="18"/>
                <w:color w:val="auto"/>
                <w:w w:val="79"/>
              </w:rPr>
              <w:t>7</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CURRENCY</w:t>
            </w:r>
          </w:p>
        </w:tc>
        <w:tc>
          <w:tcPr>
            <w:tcW w:w="168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79"/>
              </w:rPr>
              <w:t>8</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CORPORATE STRUCTURE</w:t>
            </w:r>
          </w:p>
        </w:tc>
        <w:tc>
          <w:tcPr>
            <w:tcW w:w="1680" w:type="dxa"/>
            <w:vAlign w:val="bottom"/>
          </w:tcPr>
          <w:p>
            <w:pPr>
              <w:jc w:val="center"/>
              <w:ind w:left="470"/>
              <w:spacing w:after="0"/>
              <w:rPr>
                <w:sz w:val="20"/>
                <w:szCs w:val="20"/>
                <w:color w:val="auto"/>
              </w:rPr>
            </w:pPr>
            <w:r>
              <w:rPr>
                <w:rFonts w:ascii="Arial" w:cs="Arial" w:eastAsia="Arial" w:hAnsi="Arial"/>
                <w:sz w:val="18"/>
                <w:szCs w:val="18"/>
                <w:color w:val="auto"/>
                <w:w w:val="79"/>
              </w:rPr>
              <w:t>9</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GENERAL DEVELOPMENT OF THE BUSINESS</w:t>
            </w:r>
          </w:p>
        </w:tc>
        <w:tc>
          <w:tcPr>
            <w:tcW w:w="168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79"/>
              </w:rPr>
              <w:t>9</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DESCRIPTION OF BUSINESS</w:t>
            </w:r>
          </w:p>
        </w:tc>
        <w:tc>
          <w:tcPr>
            <w:tcW w:w="1680" w:type="dxa"/>
            <w:vAlign w:val="bottom"/>
          </w:tcPr>
          <w:p>
            <w:pPr>
              <w:jc w:val="center"/>
              <w:ind w:left="450"/>
              <w:spacing w:after="0"/>
              <w:rPr>
                <w:sz w:val="20"/>
                <w:szCs w:val="20"/>
                <w:color w:val="auto"/>
              </w:rPr>
            </w:pPr>
            <w:r>
              <w:rPr>
                <w:rFonts w:ascii="Arial" w:cs="Arial" w:eastAsia="Arial" w:hAnsi="Arial"/>
                <w:sz w:val="18"/>
                <w:szCs w:val="18"/>
                <w:color w:val="auto"/>
                <w:w w:val="89"/>
              </w:rPr>
              <w:t>16</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168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9"/>
              </w:rPr>
              <w:t>29</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PRIOR SALES</w:t>
            </w:r>
          </w:p>
        </w:tc>
        <w:tc>
          <w:tcPr>
            <w:tcW w:w="1680" w:type="dxa"/>
            <w:vAlign w:val="bottom"/>
          </w:tcPr>
          <w:p>
            <w:pPr>
              <w:jc w:val="center"/>
              <w:ind w:left="450"/>
              <w:spacing w:after="0"/>
              <w:rPr>
                <w:sz w:val="20"/>
                <w:szCs w:val="20"/>
                <w:color w:val="auto"/>
              </w:rPr>
            </w:pPr>
            <w:r>
              <w:rPr>
                <w:rFonts w:ascii="Arial" w:cs="Arial" w:eastAsia="Arial" w:hAnsi="Arial"/>
                <w:sz w:val="18"/>
                <w:szCs w:val="18"/>
                <w:color w:val="auto"/>
                <w:w w:val="89"/>
              </w:rPr>
              <w:t>45</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168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9"/>
              </w:rPr>
              <w:t>46</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DESCRIPTION OF CAPITAL STRUCTURE</w:t>
            </w:r>
          </w:p>
        </w:tc>
        <w:tc>
          <w:tcPr>
            <w:tcW w:w="1680" w:type="dxa"/>
            <w:vAlign w:val="bottom"/>
          </w:tcPr>
          <w:p>
            <w:pPr>
              <w:jc w:val="center"/>
              <w:ind w:left="450"/>
              <w:spacing w:after="0"/>
              <w:rPr>
                <w:sz w:val="20"/>
                <w:szCs w:val="20"/>
                <w:color w:val="auto"/>
              </w:rPr>
            </w:pPr>
            <w:r>
              <w:rPr>
                <w:rFonts w:ascii="Arial" w:cs="Arial" w:eastAsia="Arial" w:hAnsi="Arial"/>
                <w:sz w:val="18"/>
                <w:szCs w:val="18"/>
                <w:color w:val="auto"/>
                <w:w w:val="89"/>
              </w:rPr>
              <w:t>47</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MARKET FOR SECURITIES</w:t>
            </w:r>
          </w:p>
        </w:tc>
        <w:tc>
          <w:tcPr>
            <w:tcW w:w="168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9"/>
              </w:rPr>
              <w:t>47</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ESCROWED SECURITIES AND SECURITIES SUBJECT TO CONTRACTUAL RESTRICTION ON TRANSFER</w:t>
            </w:r>
          </w:p>
        </w:tc>
        <w:tc>
          <w:tcPr>
            <w:tcW w:w="1680" w:type="dxa"/>
            <w:vAlign w:val="bottom"/>
          </w:tcPr>
          <w:p>
            <w:pPr>
              <w:jc w:val="center"/>
              <w:ind w:left="450"/>
              <w:spacing w:after="0"/>
              <w:rPr>
                <w:sz w:val="20"/>
                <w:szCs w:val="20"/>
                <w:color w:val="auto"/>
              </w:rPr>
            </w:pPr>
            <w:r>
              <w:rPr>
                <w:rFonts w:ascii="Arial" w:cs="Arial" w:eastAsia="Arial" w:hAnsi="Arial"/>
                <w:sz w:val="18"/>
                <w:szCs w:val="18"/>
                <w:color w:val="auto"/>
                <w:w w:val="89"/>
              </w:rPr>
              <w:t>48</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DIRECTORS AND OFFICERS</w:t>
            </w:r>
          </w:p>
        </w:tc>
        <w:tc>
          <w:tcPr>
            <w:tcW w:w="168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9"/>
              </w:rPr>
              <w:t>49</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PROMOTERS</w:t>
            </w:r>
          </w:p>
        </w:tc>
        <w:tc>
          <w:tcPr>
            <w:tcW w:w="1680" w:type="dxa"/>
            <w:vAlign w:val="bottom"/>
          </w:tcPr>
          <w:p>
            <w:pPr>
              <w:jc w:val="center"/>
              <w:ind w:left="450"/>
              <w:spacing w:after="0"/>
              <w:rPr>
                <w:sz w:val="20"/>
                <w:szCs w:val="20"/>
                <w:color w:val="auto"/>
              </w:rPr>
            </w:pPr>
            <w:r>
              <w:rPr>
                <w:rFonts w:ascii="Arial" w:cs="Arial" w:eastAsia="Arial" w:hAnsi="Arial"/>
                <w:sz w:val="18"/>
                <w:szCs w:val="18"/>
                <w:color w:val="auto"/>
                <w:w w:val="89"/>
              </w:rPr>
              <w:t>55</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INTEREST OF MANAGEMENT AND OTHERS IN MATERIAL TRANSACTIONS</w:t>
            </w:r>
          </w:p>
        </w:tc>
        <w:tc>
          <w:tcPr>
            <w:tcW w:w="168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9"/>
              </w:rPr>
              <w:t>55</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LEGAL PROCEEDINGS</w:t>
            </w:r>
          </w:p>
        </w:tc>
        <w:tc>
          <w:tcPr>
            <w:tcW w:w="1680" w:type="dxa"/>
            <w:vAlign w:val="bottom"/>
          </w:tcPr>
          <w:p>
            <w:pPr>
              <w:jc w:val="center"/>
              <w:ind w:left="450"/>
              <w:spacing w:after="0"/>
              <w:rPr>
                <w:sz w:val="20"/>
                <w:szCs w:val="20"/>
                <w:color w:val="auto"/>
              </w:rPr>
            </w:pPr>
            <w:r>
              <w:rPr>
                <w:rFonts w:ascii="Arial" w:cs="Arial" w:eastAsia="Arial" w:hAnsi="Arial"/>
                <w:sz w:val="18"/>
                <w:szCs w:val="18"/>
                <w:color w:val="auto"/>
                <w:w w:val="89"/>
              </w:rPr>
              <w:t>56</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w:t>
            </w:r>
          </w:p>
        </w:tc>
        <w:tc>
          <w:tcPr>
            <w:tcW w:w="168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9"/>
              </w:rPr>
              <w:t>56</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MATERIAL CONTRACTS</w:t>
            </w:r>
          </w:p>
        </w:tc>
        <w:tc>
          <w:tcPr>
            <w:tcW w:w="1680" w:type="dxa"/>
            <w:vAlign w:val="bottom"/>
          </w:tcPr>
          <w:p>
            <w:pPr>
              <w:jc w:val="center"/>
              <w:ind w:left="450"/>
              <w:spacing w:after="0"/>
              <w:rPr>
                <w:sz w:val="20"/>
                <w:szCs w:val="20"/>
                <w:color w:val="auto"/>
              </w:rPr>
            </w:pPr>
            <w:r>
              <w:rPr>
                <w:rFonts w:ascii="Arial" w:cs="Arial" w:eastAsia="Arial" w:hAnsi="Arial"/>
                <w:sz w:val="18"/>
                <w:szCs w:val="18"/>
                <w:color w:val="auto"/>
                <w:w w:val="89"/>
              </w:rPr>
              <w:t>56</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168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9"/>
              </w:rPr>
              <w:t>57</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ADDITIONAL INFORMATION</w:t>
            </w:r>
          </w:p>
        </w:tc>
        <w:tc>
          <w:tcPr>
            <w:tcW w:w="1680" w:type="dxa"/>
            <w:vAlign w:val="bottom"/>
          </w:tcPr>
          <w:p>
            <w:pPr>
              <w:jc w:val="center"/>
              <w:ind w:left="450"/>
              <w:spacing w:after="0"/>
              <w:rPr>
                <w:sz w:val="20"/>
                <w:szCs w:val="20"/>
                <w:color w:val="auto"/>
              </w:rPr>
            </w:pPr>
            <w:r>
              <w:rPr>
                <w:rFonts w:ascii="Arial" w:cs="Arial" w:eastAsia="Arial" w:hAnsi="Arial"/>
                <w:sz w:val="18"/>
                <w:szCs w:val="18"/>
                <w:color w:val="auto"/>
                <w:w w:val="89"/>
              </w:rPr>
              <w:t>57</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SCHEDULE A</w:t>
            </w:r>
          </w:p>
        </w:tc>
        <w:tc>
          <w:tcPr>
            <w:tcW w:w="168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79"/>
              </w:rPr>
              <w:t>1</w:t>
            </w:r>
          </w:p>
        </w:tc>
      </w:tr>
      <w:tr>
        <w:trPr>
          <w:trHeight w:val="682"/>
        </w:trPr>
        <w:tc>
          <w:tcPr>
            <w:tcW w:w="9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GLOSSARY OF DEFINED TERMS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this Annual Information Form, the following capitalized words and terms shall have the following meanings: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Server Farms</w:t>
      </w:r>
      <w:r>
        <w:rPr>
          <w:rFonts w:ascii="Arial" w:cs="Arial" w:eastAsia="Arial" w:hAnsi="Arial"/>
          <w:sz w:val="18"/>
          <w:szCs w:val="18"/>
          <w:color w:val="auto"/>
        </w:rPr>
        <w:t>” means the additional server farms that Backbone is presently planning to establish and operate, namely the Sherbrooke Expansion, Argentina Expansion, Paraguay Expansion and Washington Expansion;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Argentina Expansion</w:t>
      </w:r>
      <w:r>
        <w:rPr>
          <w:rFonts w:ascii="Arial" w:cs="Arial" w:eastAsia="Arial" w:hAnsi="Arial"/>
          <w:sz w:val="18"/>
          <w:szCs w:val="18"/>
          <w:color w:val="auto"/>
        </w:rPr>
        <w:t>” means the planned construction of a server farm facility in stages in Argentina;</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Arrangement</w:t>
      </w:r>
      <w:r>
        <w:rPr>
          <w:rFonts w:ascii="Arial" w:cs="Arial" w:eastAsia="Arial" w:hAnsi="Arial"/>
          <w:sz w:val="18"/>
          <w:szCs w:val="18"/>
          <w:color w:val="auto"/>
        </w:rPr>
        <w:t xml:space="preserve">” means the arrangement pursuant to Sections 350-351 of the </w:t>
      </w:r>
      <w:r>
        <w:rPr>
          <w:rFonts w:ascii="Arial" w:cs="Arial" w:eastAsia="Arial" w:hAnsi="Arial"/>
          <w:sz w:val="18"/>
          <w:szCs w:val="18"/>
          <w:i w:val="1"/>
          <w:iCs w:val="1"/>
          <w:color w:val="auto"/>
        </w:rPr>
        <w:t>Israeli Companies Law</w:t>
      </w:r>
      <w:r>
        <w:rPr>
          <w:rFonts w:ascii="Arial" w:cs="Arial" w:eastAsia="Arial" w:hAnsi="Arial"/>
          <w:sz w:val="18"/>
          <w:szCs w:val="18"/>
          <w:color w:val="auto"/>
        </w:rPr>
        <w:t xml:space="preserve"> between Bitfarms Canada and Bitfarms Israel, pursuant to which Bitfarms Canada acquired 100% of the issued and outstanding shares of Bitfarms Israel in exchange for 39,739,785 Bitfarms Shares, on a one Bitfarms Israel Share for one Bitfarms Canada Share basis, and exchanged the Legacy Options for non-tradeable options of Bitfarms Canada with similar terms;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ASIC</w:t>
      </w:r>
      <w:r>
        <w:rPr>
          <w:rFonts w:ascii="Arial" w:cs="Arial" w:eastAsia="Arial" w:hAnsi="Arial"/>
          <w:sz w:val="18"/>
          <w:szCs w:val="18"/>
          <w:color w:val="auto"/>
        </w:rPr>
        <w:t>” means application specific integrated circuit;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ATM Agreement</w:t>
      </w:r>
      <w:r>
        <w:rPr>
          <w:rFonts w:ascii="Arial" w:cs="Arial" w:eastAsia="Arial" w:hAnsi="Arial"/>
          <w:sz w:val="18"/>
          <w:szCs w:val="18"/>
          <w:color w:val="auto"/>
        </w:rPr>
        <w:t>” means the at-the-market offering agreement dated August 16, 2021 between the Company and H.C. Wainwright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August SBSF Prospectus</w:t>
      </w:r>
      <w:r>
        <w:rPr>
          <w:rFonts w:ascii="Arial" w:cs="Arial" w:eastAsia="Arial" w:hAnsi="Arial"/>
          <w:sz w:val="18"/>
          <w:szCs w:val="18"/>
          <w:color w:val="auto"/>
        </w:rPr>
        <w:t>” means the final base shelf short form prospectus filed by the Company on August 12,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Backbone</w:t>
      </w:r>
      <w:r>
        <w:rPr>
          <w:rFonts w:ascii="Arial" w:cs="Arial" w:eastAsia="Arial" w:hAnsi="Arial"/>
          <w:sz w:val="18"/>
          <w:szCs w:val="18"/>
          <w:color w:val="auto"/>
        </w:rPr>
        <w:t>” means Backbone Hosting Solutions Inc.;</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Backbone Class A Shares</w:t>
      </w:r>
      <w:r>
        <w:rPr>
          <w:rFonts w:ascii="Arial" w:cs="Arial" w:eastAsia="Arial" w:hAnsi="Arial"/>
          <w:sz w:val="18"/>
          <w:szCs w:val="18"/>
          <w:color w:val="auto"/>
        </w:rPr>
        <w:t>” mean Class A voting common shares without par value in the capital of Backbone, the holders of which receive all dividends equally with the Backbone Class B Shares, and share equally with the holders of Backbone Class B Shares all remaining property in the event of liquidation, dissolution or winding-up of the Corporation;</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Backbone Class B Shares</w:t>
      </w:r>
      <w:r>
        <w:rPr>
          <w:rFonts w:ascii="Arial" w:cs="Arial" w:eastAsia="Arial" w:hAnsi="Arial"/>
          <w:sz w:val="18"/>
          <w:szCs w:val="18"/>
          <w:color w:val="auto"/>
        </w:rPr>
        <w:t>” mean Class B non-voting common shares without par value in the capital of Backbone, the holders of which receive all dividends equally with the Backbone Class A Shares, and share equally with the holders of Backbone Class A Shares all remaining property in the event of liquidation, dissolution or winding-up of the Corporation;</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Backbone Exchangeable Shareholders</w:t>
      </w:r>
      <w:r>
        <w:rPr>
          <w:rFonts w:ascii="Arial" w:cs="Arial" w:eastAsia="Arial" w:hAnsi="Arial"/>
          <w:sz w:val="18"/>
          <w:szCs w:val="18"/>
          <w:color w:val="auto"/>
        </w:rPr>
        <w:t>” means 9264-2644 Québec Inc. and Prosum Management Inc., companies which are controlled by, respectively, Mathieu Vachon and Pierre-Luc Quimper;</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Backbone Exchangeable Shares</w:t>
      </w:r>
      <w:r>
        <w:rPr>
          <w:rFonts w:ascii="Arial" w:cs="Arial" w:eastAsia="Arial" w:hAnsi="Arial"/>
          <w:sz w:val="18"/>
          <w:szCs w:val="18"/>
          <w:color w:val="auto"/>
        </w:rPr>
        <w:t>” mean a former class of preference shares without par value in the capital of the Backbone exchangeable for common shares of Bitfarms Israel;</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Backbone Shares</w:t>
      </w:r>
      <w:r>
        <w:rPr>
          <w:rFonts w:ascii="Arial" w:cs="Arial" w:eastAsia="Arial" w:hAnsi="Arial"/>
          <w:sz w:val="17"/>
          <w:szCs w:val="17"/>
          <w:color w:val="auto"/>
        </w:rPr>
        <w:t>” means, collectively, the Backbone Class A Shares, the Backbone Class B Shares and the Backbone Exchangeable Shares;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Bitcoin Halving</w:t>
      </w:r>
      <w:r>
        <w:rPr>
          <w:rFonts w:ascii="Arial" w:cs="Arial" w:eastAsia="Arial" w:hAnsi="Arial"/>
          <w:sz w:val="18"/>
          <w:szCs w:val="18"/>
          <w:color w:val="auto"/>
        </w:rPr>
        <w:t>” has the meaning ascribed thereto in “</w:t>
      </w:r>
      <w:r>
        <w:rPr>
          <w:rFonts w:ascii="Arial" w:cs="Arial" w:eastAsia="Arial" w:hAnsi="Arial"/>
          <w:sz w:val="18"/>
          <w:szCs w:val="18"/>
          <w:i w:val="1"/>
          <w:iCs w:val="1"/>
          <w:color w:val="auto"/>
        </w:rPr>
        <w:t>RISK FACTORS – Bitcoin Halving Events”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Bitfarms</w:t>
      </w:r>
      <w:r>
        <w:rPr>
          <w:rFonts w:ascii="Arial" w:cs="Arial" w:eastAsia="Arial" w:hAnsi="Arial"/>
          <w:sz w:val="18"/>
          <w:szCs w:val="18"/>
          <w:color w:val="auto"/>
        </w:rPr>
        <w:t>” means the operating business name and trademarked name of Backbone;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Bitfarms Canada</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means Bitfarms Ltd., a corporation incorporated pursuant to the laws of Canada;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Bitfarms Canada Board</w:t>
      </w:r>
      <w:r>
        <w:rPr>
          <w:rFonts w:ascii="Arial" w:cs="Arial" w:eastAsia="Arial" w:hAnsi="Arial"/>
          <w:sz w:val="18"/>
          <w:szCs w:val="18"/>
          <w:color w:val="auto"/>
        </w:rPr>
        <w:t>” or the “</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Bitfarms Canada;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Bitfarms Shares</w:t>
      </w:r>
      <w:r>
        <w:rPr>
          <w:rFonts w:ascii="Arial" w:cs="Arial" w:eastAsia="Arial" w:hAnsi="Arial"/>
          <w:sz w:val="18"/>
          <w:szCs w:val="18"/>
          <w:color w:val="auto"/>
        </w:rPr>
        <w:t>” or “</w:t>
      </w:r>
      <w:r>
        <w:rPr>
          <w:rFonts w:ascii="Arial" w:cs="Arial" w:eastAsia="Arial" w:hAnsi="Arial"/>
          <w:sz w:val="18"/>
          <w:szCs w:val="18"/>
          <w:b w:val="1"/>
          <w:bCs w:val="1"/>
          <w:color w:val="auto"/>
        </w:rPr>
        <w:t>Common Shares</w:t>
      </w:r>
      <w:r>
        <w:rPr>
          <w:rFonts w:ascii="Arial" w:cs="Arial" w:eastAsia="Arial" w:hAnsi="Arial"/>
          <w:sz w:val="18"/>
          <w:szCs w:val="18"/>
          <w:color w:val="auto"/>
        </w:rPr>
        <w:t>” means the common shares in the capital of Bitfarms Canada;</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2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Bitfarms Israel</w:t>
      </w:r>
      <w:r>
        <w:rPr>
          <w:rFonts w:ascii="Arial" w:cs="Arial" w:eastAsia="Arial" w:hAnsi="Arial"/>
          <w:sz w:val="18"/>
          <w:szCs w:val="18"/>
          <w:color w:val="auto"/>
        </w:rPr>
        <w:t>” means Bitfarms Ltd., a corporation incorporated pursuant to the laws of Israel;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Bitfarms Israel Shares</w:t>
      </w:r>
      <w:r>
        <w:rPr>
          <w:rFonts w:ascii="Arial" w:cs="Arial" w:eastAsia="Arial" w:hAnsi="Arial"/>
          <w:sz w:val="18"/>
          <w:szCs w:val="18"/>
          <w:color w:val="auto"/>
        </w:rPr>
        <w:t>” means the common shares in the capital of Bitfarms Israel;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BlockFills Lease Facility</w:t>
      </w:r>
      <w:r>
        <w:rPr>
          <w:rFonts w:ascii="Arial" w:cs="Arial" w:eastAsia="Arial" w:hAnsi="Arial"/>
          <w:sz w:val="18"/>
          <w:szCs w:val="18"/>
          <w:color w:val="auto"/>
        </w:rPr>
        <w:t>” has the meaning as provided for in “</w:t>
      </w:r>
      <w:r>
        <w:rPr>
          <w:rFonts w:ascii="Arial" w:cs="Arial" w:eastAsia="Arial" w:hAnsi="Arial"/>
          <w:sz w:val="18"/>
          <w:szCs w:val="18"/>
          <w:i w:val="1"/>
          <w:iCs w:val="1"/>
          <w:color w:val="auto"/>
        </w:rPr>
        <w:t>Prior Sales</w:t>
      </w:r>
      <w:r>
        <w:rPr>
          <w:rFonts w:ascii="Arial" w:cs="Arial" w:eastAsia="Arial" w:hAnsi="Arial"/>
          <w:sz w:val="18"/>
          <w:szCs w:val="18"/>
          <w:color w:val="auto"/>
        </w:rPr>
        <w:t>”;</w:t>
      </w:r>
    </w:p>
    <w:p>
      <w:pPr>
        <w:spacing w:after="0" w:line="225" w:lineRule="exact"/>
        <w:rPr>
          <w:sz w:val="20"/>
          <w:szCs w:val="20"/>
          <w:color w:val="auto"/>
        </w:rPr>
      </w:pPr>
    </w:p>
    <w:p>
      <w:pPr>
        <w:jc w:val="both"/>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botnet</w:t>
      </w:r>
      <w:r>
        <w:rPr>
          <w:rFonts w:ascii="Arial" w:cs="Arial" w:eastAsia="Arial" w:hAnsi="Arial"/>
          <w:sz w:val="16"/>
          <w:szCs w:val="16"/>
          <w:color w:val="auto"/>
        </w:rPr>
        <w:t>” means a number of Internet-connected devices, each of which is running one or more bots (a computer program that does automated tasks). Botnets can be used to perform distributed denial-of-service attack, steal data, send spam, and allows the attacker to access the device and its connection;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Bunker Property</w:t>
      </w:r>
      <w:r>
        <w:rPr>
          <w:rFonts w:ascii="Arial" w:cs="Arial" w:eastAsia="Arial" w:hAnsi="Arial"/>
          <w:sz w:val="16"/>
          <w:szCs w:val="16"/>
          <w:color w:val="auto"/>
        </w:rPr>
        <w:t>” means the property leased by the Company in Sherbrooke in 2021, as described in “</w:t>
      </w:r>
      <w:r>
        <w:rPr>
          <w:rFonts w:ascii="Arial" w:cs="Arial" w:eastAsia="Arial" w:hAnsi="Arial"/>
          <w:sz w:val="16"/>
          <w:szCs w:val="16"/>
          <w:i w:val="1"/>
          <w:iCs w:val="1"/>
          <w:color w:val="auto"/>
        </w:rPr>
        <w:t>Development and Future Growth – The Bunker”</w:t>
      </w: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CBCA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Canada Business Corporations Act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CEO</w:t>
      </w:r>
      <w:r>
        <w:rPr>
          <w:rFonts w:ascii="Arial" w:cs="Arial" w:eastAsia="Arial" w:hAnsi="Arial"/>
          <w:sz w:val="18"/>
          <w:szCs w:val="18"/>
          <w:color w:val="auto"/>
        </w:rPr>
        <w:t>” means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CFO</w:t>
      </w:r>
      <w:r>
        <w:rPr>
          <w:rFonts w:ascii="Arial" w:cs="Arial" w:eastAsia="Arial" w:hAnsi="Arial"/>
          <w:sz w:val="18"/>
          <w:szCs w:val="18"/>
          <w:color w:val="auto"/>
        </w:rPr>
        <w:t>” means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Coinbase Custody</w:t>
      </w:r>
      <w:r>
        <w:rPr>
          <w:rFonts w:ascii="Arial" w:cs="Arial" w:eastAsia="Arial" w:hAnsi="Arial"/>
          <w:sz w:val="18"/>
          <w:szCs w:val="18"/>
          <w:color w:val="auto"/>
        </w:rPr>
        <w:t>” means Coinbase Trust Company, LLC;</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CORE IR Agreement</w:t>
      </w:r>
      <w:r>
        <w:rPr>
          <w:rFonts w:ascii="Arial" w:cs="Arial" w:eastAsia="Arial" w:hAnsi="Arial"/>
          <w:sz w:val="18"/>
          <w:szCs w:val="18"/>
          <w:color w:val="auto"/>
        </w:rPr>
        <w:t>” means the agreement between the Company and CORE IR for investor relations, public relations and shareholder communications services entered into on March 12,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Cowansville Expansion</w:t>
      </w:r>
      <w:r>
        <w:rPr>
          <w:rFonts w:ascii="Arial" w:cs="Arial" w:eastAsia="Arial" w:hAnsi="Arial"/>
          <w:sz w:val="18"/>
          <w:szCs w:val="18"/>
          <w:color w:val="auto"/>
        </w:rPr>
        <w:t>” means the planned expansion of the existing server farm facility in Cowansville, Québec;</w:t>
      </w:r>
    </w:p>
    <w:p>
      <w:pPr>
        <w:spacing w:after="0" w:line="22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cryptocurrency</w:t>
      </w:r>
      <w:r>
        <w:rPr>
          <w:rFonts w:ascii="Arial" w:cs="Arial" w:eastAsia="Arial" w:hAnsi="Arial"/>
          <w:sz w:val="16"/>
          <w:szCs w:val="16"/>
          <w:color w:val="auto"/>
        </w:rPr>
        <w:t>” means a form of encrypted and decentralized digital currency, transferred directly between peers across the Internet, with transactions being settled, confirmed and recorded in a distributed public ledger through Mining. Cryptocurrency is either newly “minted” through an initial coin/token offering or Mined, which results in a new coin generated as a reward to incentivize miners for verifying transactions on the blockchain;</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Facilities</w:t>
      </w:r>
      <w:r>
        <w:rPr>
          <w:rFonts w:ascii="Arial" w:cs="Arial" w:eastAsia="Arial" w:hAnsi="Arial"/>
          <w:sz w:val="18"/>
          <w:szCs w:val="18"/>
          <w:color w:val="auto"/>
        </w:rPr>
        <w:t>” means the eight operational Mining facilities operated by the Company in the Province of Québec, Washington state and Paraguay as of the date of this AIF, namely the facilities at Farnham, Saint-Hyacinthe, Cowansville, Magog, the Sherbrooke de la Pointe, Sherbrooke Bunker, Paraguay and Washington State;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December 2021 Debt Facility</w:t>
      </w:r>
      <w:r>
        <w:rPr>
          <w:rFonts w:ascii="Arial" w:cs="Arial" w:eastAsia="Arial" w:hAnsi="Arial"/>
          <w:sz w:val="16"/>
          <w:szCs w:val="16"/>
          <w:color w:val="auto"/>
        </w:rPr>
        <w:t>” means the US$100 million credit facility between the Company and Galaxy Digital entered into on December 30,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 la Pointe Property</w:t>
      </w:r>
      <w:r>
        <w:rPr>
          <w:rFonts w:ascii="Arial" w:cs="Arial" w:eastAsia="Arial" w:hAnsi="Arial"/>
          <w:sz w:val="18"/>
          <w:szCs w:val="18"/>
          <w:color w:val="auto"/>
        </w:rPr>
        <w:t>” means the Company’s 78,000 square foot facility located in Sherbrooke, Quebec;</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Dominion Facility</w:t>
      </w:r>
      <w:r>
        <w:rPr>
          <w:rFonts w:ascii="Arial" w:cs="Arial" w:eastAsia="Arial" w:hAnsi="Arial"/>
          <w:sz w:val="18"/>
          <w:szCs w:val="18"/>
          <w:color w:val="auto"/>
        </w:rPr>
        <w:t>” has the meaning as provided for in “</w:t>
      </w:r>
      <w:r>
        <w:rPr>
          <w:rFonts w:ascii="Arial" w:cs="Arial" w:eastAsia="Arial" w:hAnsi="Arial"/>
          <w:sz w:val="18"/>
          <w:szCs w:val="18"/>
          <w:i w:val="1"/>
          <w:iCs w:val="1"/>
          <w:color w:val="auto"/>
        </w:rPr>
        <w:t>GENERAL DEVELOPMENT OF THE BUSINESS – Three Year History – Fiscal 2019 – Debt</w:t>
      </w:r>
      <w:r>
        <w:rPr>
          <w:rFonts w:ascii="Arial" w:cs="Arial" w:eastAsia="Arial" w:hAnsi="Arial"/>
          <w:sz w:val="18"/>
          <w:szCs w:val="18"/>
          <w:color w:val="auto"/>
        </w:rPr>
        <w:t xml:space="preserve"> </w:t>
      </w:r>
      <w:r>
        <w:rPr>
          <w:rFonts w:ascii="Arial" w:cs="Arial" w:eastAsia="Arial" w:hAnsi="Arial"/>
          <w:sz w:val="18"/>
          <w:szCs w:val="18"/>
          <w:i w:val="1"/>
          <w:iCs w:val="1"/>
          <w:color w:val="auto"/>
        </w:rPr>
        <w:t>Financing</w:t>
      </w:r>
      <w:r>
        <w:rPr>
          <w:rFonts w:ascii="Arial" w:cs="Arial" w:eastAsia="Arial" w:hAnsi="Arial"/>
          <w:sz w:val="18"/>
          <w:szCs w:val="18"/>
          <w:color w:val="auto"/>
        </w:rPr>
        <w:t>”;</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Agreement</w:t>
      </w:r>
      <w:r>
        <w:rPr>
          <w:rFonts w:ascii="Arial" w:cs="Arial" w:eastAsia="Arial" w:hAnsi="Arial"/>
          <w:sz w:val="18"/>
          <w:szCs w:val="18"/>
          <w:color w:val="auto"/>
        </w:rPr>
        <w:t>” means the exchange agreement among Bitfarms Canada, Backbone and each of the Backbone shareholders listed in Schedule A of the Exchange Agreement (the “</w:t>
      </w:r>
      <w:r>
        <w:rPr>
          <w:rFonts w:ascii="Arial" w:cs="Arial" w:eastAsia="Arial" w:hAnsi="Arial"/>
          <w:sz w:val="18"/>
          <w:szCs w:val="18"/>
          <w:b w:val="1"/>
          <w:bCs w:val="1"/>
          <w:color w:val="auto"/>
        </w:rPr>
        <w:t>Minority Shareholders</w:t>
      </w:r>
      <w:r>
        <w:rPr>
          <w:rFonts w:ascii="Arial" w:cs="Arial" w:eastAsia="Arial" w:hAnsi="Arial"/>
          <w:sz w:val="18"/>
          <w:szCs w:val="18"/>
          <w:color w:val="auto"/>
        </w:rPr>
        <w:t>”) dated August 12, 2019, pursuant to which Bitfarms Canada acquired all of Backbone Class A Shares owned by the Minority Shareholders;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February 2021 Offering</w:t>
      </w:r>
      <w:r>
        <w:rPr>
          <w:rFonts w:ascii="Arial" w:cs="Arial" w:eastAsia="Arial" w:hAnsi="Arial"/>
          <w:sz w:val="18"/>
          <w:szCs w:val="18"/>
          <w:color w:val="auto"/>
        </w:rPr>
        <w:t>” means the February 2021 private placement of 11,560,695 Common Shares and associated warrants;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February 2022 Loan Facility</w:t>
      </w:r>
      <w:r>
        <w:rPr>
          <w:rFonts w:ascii="Arial" w:cs="Arial" w:eastAsia="Arial" w:hAnsi="Arial"/>
          <w:sz w:val="17"/>
          <w:szCs w:val="17"/>
          <w:color w:val="auto"/>
        </w:rPr>
        <w:t>” means the US$32 million credit facility between the Company and a private lender entered into on February 24, 2022;</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3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2019</w:t>
      </w:r>
      <w:r>
        <w:rPr>
          <w:rFonts w:ascii="Arial" w:cs="Arial" w:eastAsia="Arial" w:hAnsi="Arial"/>
          <w:sz w:val="18"/>
          <w:szCs w:val="18"/>
          <w:color w:val="auto"/>
        </w:rPr>
        <w:t>” means the fiscal year ended December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2020</w:t>
      </w:r>
      <w:r>
        <w:rPr>
          <w:rFonts w:ascii="Arial" w:cs="Arial" w:eastAsia="Arial" w:hAnsi="Arial"/>
          <w:sz w:val="18"/>
          <w:szCs w:val="18"/>
          <w:color w:val="auto"/>
        </w:rPr>
        <w:t>” means the fiscal year ended December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2021</w:t>
      </w:r>
      <w:r>
        <w:rPr>
          <w:rFonts w:ascii="Arial" w:cs="Arial" w:eastAsia="Arial" w:hAnsi="Arial"/>
          <w:sz w:val="18"/>
          <w:szCs w:val="18"/>
          <w:color w:val="auto"/>
        </w:rPr>
        <w:t>” means the fiscal year ended December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2022</w:t>
      </w:r>
      <w:r>
        <w:rPr>
          <w:rFonts w:ascii="Arial" w:cs="Arial" w:eastAsia="Arial" w:hAnsi="Arial"/>
          <w:sz w:val="18"/>
          <w:szCs w:val="18"/>
          <w:color w:val="auto"/>
        </w:rPr>
        <w:t>” means the fiscal year ended December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Founding Shareholders</w:t>
      </w:r>
      <w:r>
        <w:rPr>
          <w:rFonts w:ascii="Arial" w:cs="Arial" w:eastAsia="Arial" w:hAnsi="Arial"/>
          <w:sz w:val="18"/>
          <w:szCs w:val="18"/>
          <w:color w:val="auto"/>
        </w:rPr>
        <w:t>” means the founding Canadian shareholders of Backbone Hosting Solutions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Garlock Property</w:t>
      </w:r>
      <w:r>
        <w:rPr>
          <w:rFonts w:ascii="Arial" w:cs="Arial" w:eastAsia="Arial" w:hAnsi="Arial"/>
          <w:sz w:val="18"/>
          <w:szCs w:val="18"/>
          <w:color w:val="auto"/>
        </w:rPr>
        <w:t>” means the building acquired by the Company on March 11, 2022 located in Sherbrooke, Quebec;</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GMSA</w:t>
      </w:r>
      <w:r>
        <w:rPr>
          <w:rFonts w:ascii="Arial" w:cs="Arial" w:eastAsia="Arial" w:hAnsi="Arial"/>
          <w:sz w:val="18"/>
          <w:szCs w:val="18"/>
          <w:color w:val="auto"/>
        </w:rPr>
        <w:t>” means Generacion Mediterranea S.A., one of the subsidiaries of Grupo Albanesi, an Argentine private corporate group focused on the energy market which provides natural gas and electrical energy to its clients.</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Governance, Nomination and Compensation Committee</w:t>
      </w:r>
      <w:r>
        <w:rPr>
          <w:rFonts w:ascii="Arial" w:cs="Arial" w:eastAsia="Arial" w:hAnsi="Arial"/>
          <w:sz w:val="18"/>
          <w:szCs w:val="18"/>
          <w:color w:val="auto"/>
        </w:rPr>
        <w:t xml:space="preserve">” has the meanings as provided in “DIRECTORS AND OFFICERS – </w:t>
      </w:r>
      <w:r>
        <w:rPr>
          <w:rFonts w:ascii="Arial" w:cs="Arial" w:eastAsia="Arial" w:hAnsi="Arial"/>
          <w:sz w:val="18"/>
          <w:szCs w:val="18"/>
          <w:i w:val="1"/>
          <w:iCs w:val="1"/>
          <w:color w:val="auto"/>
        </w:rPr>
        <w:t>Committees of the Board</w:t>
      </w:r>
      <w:r>
        <w:rPr>
          <w:rFonts w:ascii="Arial" w:cs="Arial" w:eastAsia="Arial" w:hAnsi="Arial"/>
          <w:sz w:val="18"/>
          <w:szCs w:val="18"/>
          <w:color w:val="auto"/>
        </w:rPr>
        <w:t xml:space="preserve"> </w:t>
      </w:r>
      <w:r>
        <w:rPr>
          <w:rFonts w:ascii="Arial" w:cs="Arial" w:eastAsia="Arial" w:hAnsi="Arial"/>
          <w:sz w:val="18"/>
          <w:szCs w:val="18"/>
          <w:i w:val="1"/>
          <w:iCs w:val="1"/>
          <w:color w:val="auto"/>
        </w:rPr>
        <w:t>of Directors – Governance, Nomination and Compensation Committee</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 PUD</w:t>
      </w:r>
      <w:r>
        <w:rPr>
          <w:rFonts w:ascii="Arial" w:cs="Arial" w:eastAsia="Arial" w:hAnsi="Arial"/>
          <w:sz w:val="18"/>
          <w:szCs w:val="18"/>
          <w:color w:val="auto"/>
        </w:rPr>
        <w:t>” means the Grant County Power Utility District;</w:t>
      </w:r>
    </w:p>
    <w:p>
      <w:pPr>
        <w:spacing w:after="0" w:line="225"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Hash</w:t>
      </w:r>
      <w:r>
        <w:rPr>
          <w:rFonts w:ascii="Arial" w:cs="Arial" w:eastAsia="Arial" w:hAnsi="Arial"/>
          <w:sz w:val="18"/>
          <w:szCs w:val="18"/>
          <w:color w:val="auto"/>
        </w:rPr>
        <w:t>” means the output of a hash function, i.e. the output of the fundamental mathematical computation of a particular cryptocurrency’s computer code which Miners execute, and “</w:t>
      </w:r>
      <w:r>
        <w:rPr>
          <w:rFonts w:ascii="Arial" w:cs="Arial" w:eastAsia="Arial" w:hAnsi="Arial"/>
          <w:sz w:val="18"/>
          <w:szCs w:val="18"/>
          <w:b w:val="1"/>
          <w:bCs w:val="1"/>
          <w:color w:val="auto"/>
        </w:rPr>
        <w:t>Petahash</w:t>
      </w:r>
      <w:r>
        <w:rPr>
          <w:rFonts w:ascii="Arial" w:cs="Arial" w:eastAsia="Arial" w:hAnsi="Arial"/>
          <w:sz w:val="18"/>
          <w:szCs w:val="18"/>
          <w:color w:val="auto"/>
        </w:rPr>
        <w:t>” or “</w:t>
      </w:r>
      <w:r>
        <w:rPr>
          <w:rFonts w:ascii="Arial" w:cs="Arial" w:eastAsia="Arial" w:hAnsi="Arial"/>
          <w:sz w:val="18"/>
          <w:szCs w:val="18"/>
          <w:b w:val="1"/>
          <w:bCs w:val="1"/>
          <w:color w:val="auto"/>
        </w:rPr>
        <w:t>PH</w:t>
      </w:r>
      <w:r>
        <w:rPr>
          <w:rFonts w:ascii="Arial" w:cs="Arial" w:eastAsia="Arial" w:hAnsi="Arial"/>
          <w:sz w:val="18"/>
          <w:szCs w:val="18"/>
          <w:color w:val="auto"/>
        </w:rPr>
        <w:t>” and “</w:t>
      </w:r>
      <w:r>
        <w:rPr>
          <w:rFonts w:ascii="Arial" w:cs="Arial" w:eastAsia="Arial" w:hAnsi="Arial"/>
          <w:sz w:val="18"/>
          <w:szCs w:val="18"/>
          <w:b w:val="1"/>
          <w:bCs w:val="1"/>
          <w:color w:val="auto"/>
        </w:rPr>
        <w:t>Exahash</w:t>
      </w:r>
      <w:r>
        <w:rPr>
          <w:rFonts w:ascii="Arial" w:cs="Arial" w:eastAsia="Arial" w:hAnsi="Arial"/>
          <w:sz w:val="18"/>
          <w:szCs w:val="18"/>
          <w:color w:val="auto"/>
        </w:rPr>
        <w:t>” or “</w:t>
      </w:r>
      <w:r>
        <w:rPr>
          <w:rFonts w:ascii="Arial" w:cs="Arial" w:eastAsia="Arial" w:hAnsi="Arial"/>
          <w:sz w:val="18"/>
          <w:szCs w:val="18"/>
          <w:b w:val="1"/>
          <w:bCs w:val="1"/>
          <w:color w:val="auto"/>
        </w:rPr>
        <w:t>EH</w:t>
      </w:r>
      <w:r>
        <w:rPr>
          <w:rFonts w:ascii="Arial" w:cs="Arial" w:eastAsia="Arial" w:hAnsi="Arial"/>
          <w:sz w:val="18"/>
          <w:szCs w:val="18"/>
          <w:color w:val="auto"/>
        </w:rPr>
        <w:t>” mean, respectively, 1x10</w:t>
      </w:r>
      <w:r>
        <w:rPr>
          <w:rFonts w:ascii="Arial" w:cs="Arial" w:eastAsia="Arial" w:hAnsi="Arial"/>
          <w:sz w:val="29"/>
          <w:szCs w:val="29"/>
          <w:color w:val="auto"/>
          <w:vertAlign w:val="superscript"/>
        </w:rPr>
        <w:t>15</w:t>
      </w:r>
      <w:r>
        <w:rPr>
          <w:rFonts w:ascii="Arial" w:cs="Arial" w:eastAsia="Arial" w:hAnsi="Arial"/>
          <w:sz w:val="18"/>
          <w:szCs w:val="18"/>
          <w:color w:val="auto"/>
        </w:rPr>
        <w:t xml:space="preserve"> and 1x10</w:t>
      </w:r>
      <w:r>
        <w:rPr>
          <w:rFonts w:ascii="Arial" w:cs="Arial" w:eastAsia="Arial" w:hAnsi="Arial"/>
          <w:sz w:val="29"/>
          <w:szCs w:val="29"/>
          <w:color w:val="auto"/>
          <w:vertAlign w:val="superscript"/>
        </w:rPr>
        <w:t>18</w:t>
      </w:r>
      <w:r>
        <w:rPr>
          <w:rFonts w:ascii="Arial" w:cs="Arial" w:eastAsia="Arial" w:hAnsi="Arial"/>
          <w:sz w:val="18"/>
          <w:szCs w:val="18"/>
          <w:color w:val="auto"/>
        </w:rPr>
        <w:t xml:space="preserve"> Hashes;</w:t>
      </w:r>
    </w:p>
    <w:p>
      <w:pPr>
        <w:spacing w:after="0" w:line="3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Hosting Agreement</w:t>
      </w:r>
      <w:r>
        <w:rPr>
          <w:rFonts w:ascii="Arial" w:cs="Arial" w:eastAsia="Arial" w:hAnsi="Arial"/>
          <w:sz w:val="18"/>
          <w:szCs w:val="18"/>
          <w:color w:val="auto"/>
        </w:rPr>
        <w:t>” has the meaning as provided for in “</w:t>
      </w:r>
      <w:r>
        <w:rPr>
          <w:rFonts w:ascii="Arial" w:cs="Arial" w:eastAsia="Arial" w:hAnsi="Arial"/>
          <w:sz w:val="18"/>
          <w:szCs w:val="18"/>
          <w:i w:val="1"/>
          <w:iCs w:val="1"/>
          <w:color w:val="auto"/>
        </w:rPr>
        <w:t>GENERAL DEVELOPMENT OF THE BUSINESS – Three Year History – Fiscal 2021 –</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 of Operations”</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Hydro-Magog</w:t>
      </w:r>
      <w:r>
        <w:rPr>
          <w:rFonts w:ascii="Arial" w:cs="Arial" w:eastAsia="Arial" w:hAnsi="Arial"/>
          <w:sz w:val="17"/>
          <w:szCs w:val="17"/>
          <w:color w:val="auto"/>
        </w:rPr>
        <w:t>” means the regional public utility company that manages the generation and distribution of electricity in the region of Magog, Québec;</w:t>
      </w:r>
    </w:p>
    <w:p>
      <w:pPr>
        <w:spacing w:after="0" w:line="23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Hydro-Québec</w:t>
      </w:r>
      <w:r>
        <w:rPr>
          <w:rFonts w:ascii="Arial" w:cs="Arial" w:eastAsia="Arial" w:hAnsi="Arial"/>
          <w:sz w:val="18"/>
          <w:szCs w:val="18"/>
          <w:color w:val="auto"/>
        </w:rPr>
        <w:t>” means “Commission hydroélectrique du Québec”, the provincial public utility company that manages the generation and distribution of electricity in the Province of Québec;</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Hydro-Sherbrooke</w:t>
      </w:r>
      <w:r>
        <w:rPr>
          <w:rFonts w:ascii="Arial" w:cs="Arial" w:eastAsia="Arial" w:hAnsi="Arial"/>
          <w:sz w:val="18"/>
          <w:szCs w:val="18"/>
          <w:color w:val="auto"/>
        </w:rPr>
        <w:t>” means the regional public utility company that manages the generation and distribution of electricity in the region of Sherbrooke, Québec;</w:t>
      </w:r>
    </w:p>
    <w:p>
      <w:pPr>
        <w:spacing w:after="0" w:line="162" w:lineRule="exact"/>
        <w:rPr>
          <w:sz w:val="20"/>
          <w:szCs w:val="20"/>
          <w:color w:val="auto"/>
        </w:rPr>
      </w:pPr>
    </w:p>
    <w:p>
      <w:pPr>
        <w:ind w:right="4660"/>
        <w:spacing w:after="0" w:line="5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Draw</w:t>
      </w:r>
      <w:r>
        <w:rPr>
          <w:rFonts w:ascii="Arial" w:cs="Arial" w:eastAsia="Arial" w:hAnsi="Arial"/>
          <w:sz w:val="18"/>
          <w:szCs w:val="18"/>
          <w:color w:val="auto"/>
        </w:rPr>
        <w:t>” means the initial US$60 million draw on the December 2021 Debt Facility; “</w:t>
      </w:r>
      <w:r>
        <w:rPr>
          <w:rFonts w:ascii="Arial" w:cs="Arial" w:eastAsia="Arial" w:hAnsi="Arial"/>
          <w:sz w:val="18"/>
          <w:szCs w:val="18"/>
          <w:b w:val="1"/>
          <w:bCs w:val="1"/>
          <w:color w:val="auto"/>
        </w:rPr>
        <w:t>Israel</w:t>
      </w:r>
      <w:r>
        <w:rPr>
          <w:rFonts w:ascii="Arial" w:cs="Arial" w:eastAsia="Arial" w:hAnsi="Arial"/>
          <w:sz w:val="18"/>
          <w:szCs w:val="18"/>
          <w:color w:val="auto"/>
        </w:rPr>
        <w:t>” means the State of Israel;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color w:val="auto"/>
        </w:rPr>
        <w:t>Israeli Companies Law</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w:t>
      </w:r>
      <w:r>
        <w:rPr>
          <w:rFonts w:ascii="Arial" w:cs="Arial" w:eastAsia="Arial" w:hAnsi="Arial"/>
          <w:sz w:val="18"/>
          <w:szCs w:val="18"/>
          <w:i w:val="1"/>
          <w:iCs w:val="1"/>
          <w:color w:val="auto"/>
        </w:rPr>
        <w:t xml:space="preserve"> Companies Law</w:t>
      </w:r>
      <w:r>
        <w:rPr>
          <w:rFonts w:ascii="Arial" w:cs="Arial" w:eastAsia="Arial" w:hAnsi="Arial"/>
          <w:sz w:val="18"/>
          <w:szCs w:val="18"/>
          <w:color w:val="auto"/>
        </w:rPr>
        <w:t>, as amended, of Israel;</w:t>
      </w:r>
    </w:p>
    <w:p>
      <w:pPr>
        <w:spacing w:after="0" w:line="225" w:lineRule="exact"/>
        <w:rPr>
          <w:sz w:val="20"/>
          <w:szCs w:val="20"/>
          <w:color w:val="auto"/>
        </w:rPr>
      </w:pPr>
    </w:p>
    <w:p>
      <w:pPr>
        <w:ind w:right="1320"/>
        <w:spacing w:after="0" w:line="5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January 7, 2021 Offering</w:t>
      </w:r>
      <w:r>
        <w:rPr>
          <w:rFonts w:ascii="Arial" w:cs="Arial" w:eastAsia="Arial" w:hAnsi="Arial"/>
          <w:sz w:val="16"/>
          <w:szCs w:val="16"/>
          <w:color w:val="auto"/>
        </w:rPr>
        <w:t>” means the January 2021 private placement offering of 8,888,889 Common Shares and associated warrants; “</w:t>
      </w:r>
      <w:r>
        <w:rPr>
          <w:rFonts w:ascii="Arial" w:cs="Arial" w:eastAsia="Arial" w:hAnsi="Arial"/>
          <w:sz w:val="16"/>
          <w:szCs w:val="16"/>
          <w:b w:val="1"/>
          <w:bCs w:val="1"/>
          <w:color w:val="auto"/>
        </w:rPr>
        <w:t>January 13, 2021 Offering</w:t>
      </w:r>
      <w:r>
        <w:rPr>
          <w:rFonts w:ascii="Arial" w:cs="Arial" w:eastAsia="Arial" w:hAnsi="Arial"/>
          <w:sz w:val="16"/>
          <w:szCs w:val="16"/>
          <w:color w:val="auto"/>
        </w:rPr>
        <w:t>” means the January 2021 private placement offering of 5,586,593 Common Shares and associated warrants;</w:t>
      </w:r>
    </w:p>
    <w:p>
      <w:pPr>
        <w:spacing w:after="0" w:line="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July 2021 Hosting Agreement</w:t>
      </w:r>
      <w:r>
        <w:rPr>
          <w:rFonts w:ascii="Arial" w:cs="Arial" w:eastAsia="Arial" w:hAnsi="Arial"/>
          <w:sz w:val="18"/>
          <w:szCs w:val="18"/>
          <w:color w:val="auto"/>
        </w:rPr>
        <w:t>” means the hosting agreement entered into by the Company for 12 MW in Washington State, US entered into in July 2021;</w:t>
      </w: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color w:val="auto"/>
        </w:rPr>
        <w:t>4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Legacy Options</w:t>
      </w:r>
      <w:r>
        <w:rPr>
          <w:rFonts w:ascii="Arial" w:cs="Arial" w:eastAsia="Arial" w:hAnsi="Arial"/>
          <w:sz w:val="18"/>
          <w:szCs w:val="18"/>
          <w:color w:val="auto"/>
        </w:rPr>
        <w:t>” means the non-tradeable Bitfarms Israel options granted on January 15, 2018 entitling the holders to acquire up to 300,000 Bitfarms Israel Shares at a price of 3.00 NIS per share for a period of five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Leger Property</w:t>
      </w:r>
      <w:r>
        <w:rPr>
          <w:rFonts w:ascii="Arial" w:cs="Arial" w:eastAsia="Arial" w:hAnsi="Arial"/>
          <w:sz w:val="18"/>
          <w:szCs w:val="18"/>
          <w:color w:val="auto"/>
        </w:rPr>
        <w:t>” means the Company’s 36,000 square foot facility in Sherbrooke, Quebec;</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Lender</w:t>
      </w:r>
      <w:r>
        <w:rPr>
          <w:rFonts w:ascii="Arial" w:cs="Arial" w:eastAsia="Arial" w:hAnsi="Arial"/>
          <w:sz w:val="17"/>
          <w:szCs w:val="17"/>
          <w:color w:val="auto"/>
        </w:rPr>
        <w:t>” or “</w:t>
      </w:r>
      <w:r>
        <w:rPr>
          <w:rFonts w:ascii="Arial" w:cs="Arial" w:eastAsia="Arial" w:hAnsi="Arial"/>
          <w:sz w:val="17"/>
          <w:szCs w:val="17"/>
          <w:b w:val="1"/>
          <w:bCs w:val="1"/>
          <w:color w:val="auto"/>
        </w:rPr>
        <w:t>Dominion</w:t>
      </w:r>
      <w:r>
        <w:rPr>
          <w:rFonts w:ascii="Arial" w:cs="Arial" w:eastAsia="Arial" w:hAnsi="Arial"/>
          <w:sz w:val="17"/>
          <w:szCs w:val="17"/>
          <w:color w:val="auto"/>
        </w:rPr>
        <w:t>” means DC BFL SPV, LLC, in the loan agreement (the “</w:t>
      </w:r>
      <w:r>
        <w:rPr>
          <w:rFonts w:ascii="Arial" w:cs="Arial" w:eastAsia="Arial" w:hAnsi="Arial"/>
          <w:sz w:val="17"/>
          <w:szCs w:val="17"/>
          <w:b w:val="1"/>
          <w:bCs w:val="1"/>
          <w:color w:val="auto"/>
        </w:rPr>
        <w:t>Loan Agreement</w:t>
      </w:r>
      <w:r>
        <w:rPr>
          <w:rFonts w:ascii="Arial" w:cs="Arial" w:eastAsia="Arial" w:hAnsi="Arial"/>
          <w:sz w:val="17"/>
          <w:szCs w:val="17"/>
          <w:color w:val="auto"/>
        </w:rPr>
        <w:t>”) dated March 14, 2019 between Dominion, as lender and Backbone, as borrower, pursuant to which the Lender provided the Dominion Facility which was prepaid and retired in February 2021;</w:t>
      </w:r>
    </w:p>
    <w:p>
      <w:pPr>
        <w:spacing w:after="0" w:line="140"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Warrants</w:t>
      </w:r>
      <w:r>
        <w:rPr>
          <w:rFonts w:ascii="Arial" w:cs="Arial" w:eastAsia="Arial" w:hAnsi="Arial"/>
          <w:sz w:val="18"/>
          <w:szCs w:val="18"/>
          <w:color w:val="auto"/>
        </w:rPr>
        <w:t>” means the 1,666,667 warrants issued to the Lender for each Loan drawn, pursuant to the Loan Agreement, all of which have been exercised as of the date hereof;</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and “</w:t>
      </w:r>
      <w:r>
        <w:rPr>
          <w:rFonts w:ascii="Arial" w:cs="Arial" w:eastAsia="Arial" w:hAnsi="Arial"/>
          <w:sz w:val="18"/>
          <w:szCs w:val="18"/>
          <w:b w:val="1"/>
          <w:bCs w:val="1"/>
          <w:color w:val="auto"/>
        </w:rPr>
        <w:t>Loans</w:t>
      </w:r>
      <w:r>
        <w:rPr>
          <w:rFonts w:ascii="Arial" w:cs="Arial" w:eastAsia="Arial" w:hAnsi="Arial"/>
          <w:sz w:val="18"/>
          <w:szCs w:val="18"/>
          <w:color w:val="auto"/>
        </w:rPr>
        <w:t>” have the meaning as provided for in “</w:t>
      </w:r>
      <w:r>
        <w:rPr>
          <w:rFonts w:ascii="Arial" w:cs="Arial" w:eastAsia="Arial" w:hAnsi="Arial"/>
          <w:sz w:val="18"/>
          <w:szCs w:val="18"/>
          <w:i w:val="1"/>
          <w:iCs w:val="1"/>
          <w:color w:val="auto"/>
        </w:rPr>
        <w:t>GENERAL DEVELOPMENT OF THE BUSINESS – Three Year History – Fiscal 2019 – Debt</w:t>
      </w:r>
      <w:r>
        <w:rPr>
          <w:rFonts w:ascii="Arial" w:cs="Arial" w:eastAsia="Arial" w:hAnsi="Arial"/>
          <w:sz w:val="18"/>
          <w:szCs w:val="18"/>
          <w:color w:val="auto"/>
        </w:rPr>
        <w:t xml:space="preserve"> </w:t>
      </w:r>
      <w:r>
        <w:rPr>
          <w:rFonts w:ascii="Arial" w:cs="Arial" w:eastAsia="Arial" w:hAnsi="Arial"/>
          <w:sz w:val="18"/>
          <w:szCs w:val="18"/>
          <w:i w:val="1"/>
          <w:iCs w:val="1"/>
          <w:color w:val="auto"/>
        </w:rPr>
        <w:t>Financing</w:t>
      </w:r>
      <w:r>
        <w:rPr>
          <w:rFonts w:ascii="Arial" w:cs="Arial" w:eastAsia="Arial" w:hAnsi="Arial"/>
          <w:sz w:val="18"/>
          <w:szCs w:val="18"/>
          <w:color w:val="auto"/>
        </w:rPr>
        <w:t>”;</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Agreement</w:t>
      </w:r>
      <w:r>
        <w:rPr>
          <w:rFonts w:ascii="Arial" w:cs="Arial" w:eastAsia="Arial" w:hAnsi="Arial"/>
          <w:sz w:val="18"/>
          <w:szCs w:val="18"/>
          <w:color w:val="auto"/>
        </w:rPr>
        <w:t>” has the meaning as provided for in “</w:t>
      </w:r>
      <w:r>
        <w:rPr>
          <w:rFonts w:ascii="Arial" w:cs="Arial" w:eastAsia="Arial" w:hAnsi="Arial"/>
          <w:sz w:val="18"/>
          <w:szCs w:val="18"/>
          <w:i w:val="1"/>
          <w:iCs w:val="1"/>
          <w:color w:val="auto"/>
        </w:rPr>
        <w:t>GENERAL DEVELOPMENT OF THE BUSINESS – Three Year History – Fiscal 2019 – Debt</w:t>
      </w:r>
      <w:r>
        <w:rPr>
          <w:rFonts w:ascii="Arial" w:cs="Arial" w:eastAsia="Arial" w:hAnsi="Arial"/>
          <w:sz w:val="18"/>
          <w:szCs w:val="18"/>
          <w:color w:val="auto"/>
        </w:rPr>
        <w:t xml:space="preserve"> </w:t>
      </w:r>
      <w:r>
        <w:rPr>
          <w:rFonts w:ascii="Arial" w:cs="Arial" w:eastAsia="Arial" w:hAnsi="Arial"/>
          <w:sz w:val="18"/>
          <w:szCs w:val="18"/>
          <w:i w:val="1"/>
          <w:iCs w:val="1"/>
          <w:color w:val="auto"/>
        </w:rPr>
        <w:t>Financing</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May 2021 Offering</w:t>
      </w:r>
      <w:r>
        <w:rPr>
          <w:rFonts w:ascii="Arial" w:cs="Arial" w:eastAsia="Arial" w:hAnsi="Arial"/>
          <w:sz w:val="18"/>
          <w:szCs w:val="18"/>
          <w:color w:val="auto"/>
        </w:rPr>
        <w:t>” means the May 2021 private placement of 14,150,940 Common Shares and associated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MD&amp;A</w:t>
      </w:r>
      <w:r>
        <w:rPr>
          <w:rFonts w:ascii="Arial" w:cs="Arial" w:eastAsia="Arial" w:hAnsi="Arial"/>
          <w:sz w:val="18"/>
          <w:szCs w:val="18"/>
          <w:color w:val="auto"/>
        </w:rPr>
        <w:t>” means management’s discussion and analysis;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MOU</w:t>
      </w:r>
      <w:r>
        <w:rPr>
          <w:rFonts w:ascii="Arial" w:cs="Arial" w:eastAsia="Arial" w:hAnsi="Arial"/>
          <w:sz w:val="18"/>
          <w:szCs w:val="18"/>
          <w:color w:val="auto"/>
        </w:rPr>
        <w:t>” means the nonbinding memorandum of understanding entered into by the Company on October 26, 2020 to secure 200 MW of electricity in South America;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Miner</w:t>
      </w:r>
      <w:r>
        <w:rPr>
          <w:rFonts w:ascii="Arial" w:cs="Arial" w:eastAsia="Arial" w:hAnsi="Arial"/>
          <w:sz w:val="18"/>
          <w:szCs w:val="18"/>
          <w:color w:val="auto"/>
        </w:rPr>
        <w:t>” means a computer configured for the purpose of performing blockchain computer operations;</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Mining</w:t>
      </w:r>
      <w:r>
        <w:rPr>
          <w:rFonts w:ascii="Arial" w:cs="Arial" w:eastAsia="Arial" w:hAnsi="Arial"/>
          <w:sz w:val="18"/>
          <w:szCs w:val="18"/>
          <w:color w:val="auto"/>
        </w:rPr>
        <w:t>” means the process of using Miners to provide the service of verifying and validating cryptographic blockchain transactions and being rewarded with cryptocurrency in return for such service;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Nasdaq Stock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NI 52-102</w:t>
      </w:r>
      <w:r>
        <w:rPr>
          <w:rFonts w:ascii="Arial" w:cs="Arial" w:eastAsia="Arial" w:hAnsi="Arial"/>
          <w:sz w:val="18"/>
          <w:szCs w:val="18"/>
          <w:color w:val="auto"/>
        </w:rPr>
        <w:t xml:space="preserve">” means National Instrument 52-102 – </w:t>
      </w:r>
      <w:r>
        <w:rPr>
          <w:rFonts w:ascii="Arial" w:cs="Arial" w:eastAsia="Arial" w:hAnsi="Arial"/>
          <w:sz w:val="18"/>
          <w:szCs w:val="18"/>
          <w:i w:val="1"/>
          <w:iCs w:val="1"/>
          <w:color w:val="auto"/>
        </w:rPr>
        <w:t>Continuous Disclosure Obligations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NI 52-110</w:t>
      </w:r>
      <w:r>
        <w:rPr>
          <w:rFonts w:ascii="Arial" w:cs="Arial" w:eastAsia="Arial" w:hAnsi="Arial"/>
          <w:sz w:val="18"/>
          <w:szCs w:val="18"/>
          <w:color w:val="auto"/>
        </w:rPr>
        <w:t xml:space="preserve">” means National Instrument 52-110 – </w:t>
      </w:r>
      <w:r>
        <w:rPr>
          <w:rFonts w:ascii="Arial" w:cs="Arial" w:eastAsia="Arial" w:hAnsi="Arial"/>
          <w:sz w:val="18"/>
          <w:szCs w:val="18"/>
          <w:i w:val="1"/>
          <w:iCs w:val="1"/>
          <w:color w:val="auto"/>
        </w:rPr>
        <w:t>Audit Committees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NEO</w:t>
      </w:r>
      <w:r>
        <w:rPr>
          <w:rFonts w:ascii="Arial" w:cs="Arial" w:eastAsia="Arial" w:hAnsi="Arial"/>
          <w:sz w:val="18"/>
          <w:szCs w:val="18"/>
          <w:color w:val="auto"/>
        </w:rPr>
        <w:t>” or “</w:t>
      </w:r>
      <w:r>
        <w:rPr>
          <w:rFonts w:ascii="Arial" w:cs="Arial" w:eastAsia="Arial" w:hAnsi="Arial"/>
          <w:sz w:val="18"/>
          <w:szCs w:val="18"/>
          <w:b w:val="1"/>
          <w:bCs w:val="1"/>
          <w:color w:val="auto"/>
        </w:rPr>
        <w:t>Named Executive Officer</w:t>
      </w:r>
      <w:r>
        <w:rPr>
          <w:rFonts w:ascii="Arial" w:cs="Arial" w:eastAsia="Arial" w:hAnsi="Arial"/>
          <w:sz w:val="18"/>
          <w:szCs w:val="18"/>
          <w:color w:val="auto"/>
        </w:rPr>
        <w:t xml:space="preserve">” has the meaning ascribed to that term in Form 51-102F6 </w:t>
      </w:r>
      <w:r>
        <w:rPr>
          <w:rFonts w:ascii="Arial" w:cs="Arial" w:eastAsia="Arial" w:hAnsi="Arial"/>
          <w:sz w:val="18"/>
          <w:szCs w:val="18"/>
          <w:i w:val="1"/>
          <w:iCs w:val="1"/>
          <w:color w:val="auto"/>
        </w:rPr>
        <w:t>Statement of Executive Compensation</w:t>
      </w:r>
      <w:r>
        <w:rPr>
          <w:rFonts w:ascii="Arial" w:cs="Arial" w:eastAsia="Arial" w:hAnsi="Arial"/>
          <w:sz w:val="18"/>
          <w:szCs w:val="18"/>
          <w:color w:val="auto"/>
        </w:rPr>
        <w:t>;</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November 2021 Washington Acquisition</w:t>
      </w:r>
      <w:r>
        <w:rPr>
          <w:rFonts w:ascii="Arial" w:cs="Arial" w:eastAsia="Arial" w:hAnsi="Arial"/>
          <w:sz w:val="18"/>
          <w:szCs w:val="18"/>
          <w:color w:val="auto"/>
        </w:rPr>
        <w:t>” means the Company’s acquisition of a 24 MW hydro power farm in Washington State, US on November 9,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NIS</w:t>
      </w:r>
      <w:r>
        <w:rPr>
          <w:rFonts w:ascii="Arial" w:cs="Arial" w:eastAsia="Arial" w:hAnsi="Arial"/>
          <w:sz w:val="18"/>
          <w:szCs w:val="18"/>
          <w:color w:val="auto"/>
        </w:rPr>
        <w:t>” means the Israeli new shekel and the official currency of Israel;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OBCA</w:t>
      </w:r>
      <w:r>
        <w:rPr>
          <w:rFonts w:ascii="Arial" w:cs="Arial" w:eastAsia="Arial" w:hAnsi="Arial"/>
          <w:sz w:val="18"/>
          <w:szCs w:val="18"/>
          <w:color w:val="auto"/>
        </w:rPr>
        <w:t>” means the Ontario Business Corporations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Onyx</w:t>
      </w:r>
      <w:r>
        <w:rPr>
          <w:rFonts w:ascii="Arial" w:cs="Arial" w:eastAsia="Arial" w:hAnsi="Arial"/>
          <w:sz w:val="18"/>
          <w:szCs w:val="18"/>
          <w:color w:val="auto"/>
        </w:rPr>
        <w:t>” means Onyx Hosting Inc.;</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Onyx License Agreement</w:t>
      </w:r>
      <w:r>
        <w:rPr>
          <w:rFonts w:ascii="Arial" w:cs="Arial" w:eastAsia="Arial" w:hAnsi="Arial"/>
          <w:sz w:val="17"/>
          <w:szCs w:val="17"/>
          <w:color w:val="auto"/>
        </w:rPr>
        <w:t>” means the agreement entered into between Onyx and Backbone dated December 15, 2017 pursuant to which Onyx licensed to Backbone the use of the Farnham and Saint-Hyacinthe facilities in consideration for payment of the underlying leasehold expenses;</w:t>
      </w: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auto"/>
        </w:rPr>
        <w:t>5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PROA</w:t>
      </w:r>
      <w:r>
        <w:rPr>
          <w:rFonts w:ascii="Arial" w:cs="Arial" w:eastAsia="Arial" w:hAnsi="Arial"/>
          <w:sz w:val="18"/>
          <w:szCs w:val="18"/>
          <w:color w:val="auto"/>
        </w:rPr>
        <w:t>” means Proyectos y Obras Americanas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Promoters</w:t>
      </w:r>
      <w:r>
        <w:rPr>
          <w:rFonts w:ascii="Arial" w:cs="Arial" w:eastAsia="Arial" w:hAnsi="Arial"/>
          <w:sz w:val="18"/>
          <w:szCs w:val="18"/>
          <w:color w:val="auto"/>
        </w:rPr>
        <w:t>” means Emiliano Joel Grodzki and Nicolas Bonta;</w:t>
      </w:r>
    </w:p>
    <w:p>
      <w:pPr>
        <w:spacing w:after="0" w:line="225" w:lineRule="exact"/>
        <w:rPr>
          <w:sz w:val="20"/>
          <w:szCs w:val="20"/>
          <w:color w:val="auto"/>
        </w:rPr>
      </w:pPr>
    </w:p>
    <w:p>
      <w:pPr>
        <w:ind w:right="5040"/>
        <w:spacing w:after="0" w:line="5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means the final long form non-offering prospectus dated June 12, 2019; “</w:t>
      </w:r>
      <w:r>
        <w:rPr>
          <w:rFonts w:ascii="Arial" w:cs="Arial" w:eastAsia="Arial" w:hAnsi="Arial"/>
          <w:sz w:val="18"/>
          <w:szCs w:val="18"/>
          <w:b w:val="1"/>
          <w:bCs w:val="1"/>
          <w:color w:val="auto"/>
        </w:rPr>
        <w:t>PSU</w:t>
      </w:r>
      <w:r>
        <w:rPr>
          <w:rFonts w:ascii="Arial" w:cs="Arial" w:eastAsia="Arial" w:hAnsi="Arial"/>
          <w:sz w:val="18"/>
          <w:szCs w:val="18"/>
          <w:color w:val="auto"/>
        </w:rPr>
        <w:t>” means power supply unit;</w:t>
      </w:r>
    </w:p>
    <w:p>
      <w:pPr>
        <w:spacing w:after="0" w:line="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Put Call Agreement</w:t>
      </w:r>
      <w:r>
        <w:rPr>
          <w:rFonts w:ascii="Arial" w:cs="Arial" w:eastAsia="Arial" w:hAnsi="Arial"/>
          <w:sz w:val="18"/>
          <w:szCs w:val="18"/>
          <w:color w:val="auto"/>
        </w:rPr>
        <w:t>” means the put call agreement entered into between Blockchain Mining Ltd., Backbone Hosting Solutions Inc., and the Founding Shareholders on April 12, 2018;</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Régie</w:t>
      </w:r>
      <w:r>
        <w:rPr>
          <w:rFonts w:ascii="Arial" w:cs="Arial" w:eastAsia="Arial" w:hAnsi="Arial"/>
          <w:sz w:val="18"/>
          <w:szCs w:val="18"/>
          <w:color w:val="auto"/>
        </w:rPr>
        <w:t>”, “</w:t>
      </w:r>
      <w:r>
        <w:rPr>
          <w:rFonts w:ascii="Arial" w:cs="Arial" w:eastAsia="Arial" w:hAnsi="Arial"/>
          <w:sz w:val="18"/>
          <w:szCs w:val="18"/>
          <w:b w:val="1"/>
          <w:bCs w:val="1"/>
          <w:color w:val="auto"/>
        </w:rPr>
        <w:t>Municipal Electrical Networks</w:t>
      </w:r>
      <w:r>
        <w:rPr>
          <w:rFonts w:ascii="Arial" w:cs="Arial" w:eastAsia="Arial" w:hAnsi="Arial"/>
          <w:sz w:val="18"/>
          <w:szCs w:val="18"/>
          <w:color w:val="auto"/>
        </w:rPr>
        <w:t>”, “</w:t>
      </w:r>
      <w:r>
        <w:rPr>
          <w:rFonts w:ascii="Arial" w:cs="Arial" w:eastAsia="Arial" w:hAnsi="Arial"/>
          <w:sz w:val="18"/>
          <w:szCs w:val="18"/>
          <w:b w:val="1"/>
          <w:bCs w:val="1"/>
          <w:color w:val="auto"/>
        </w:rPr>
        <w:t>Preferential Rate</w:t>
      </w:r>
      <w:r>
        <w:rPr>
          <w:rFonts w:ascii="Arial" w:cs="Arial" w:eastAsia="Arial" w:hAnsi="Arial"/>
          <w:sz w:val="18"/>
          <w:szCs w:val="18"/>
          <w:color w:val="auto"/>
        </w:rPr>
        <w:t>”, “</w:t>
      </w:r>
      <w:r>
        <w:rPr>
          <w:rFonts w:ascii="Arial" w:cs="Arial" w:eastAsia="Arial" w:hAnsi="Arial"/>
          <w:sz w:val="18"/>
          <w:szCs w:val="18"/>
          <w:b w:val="1"/>
          <w:bCs w:val="1"/>
          <w:color w:val="auto"/>
        </w:rPr>
        <w:t>Phase 1</w:t>
      </w:r>
      <w:r>
        <w:rPr>
          <w:rFonts w:ascii="Arial" w:cs="Arial" w:eastAsia="Arial" w:hAnsi="Arial"/>
          <w:sz w:val="18"/>
          <w:szCs w:val="18"/>
          <w:color w:val="auto"/>
        </w:rPr>
        <w:t>”, “</w:t>
      </w:r>
      <w:r>
        <w:rPr>
          <w:rFonts w:ascii="Arial" w:cs="Arial" w:eastAsia="Arial" w:hAnsi="Arial"/>
          <w:sz w:val="18"/>
          <w:szCs w:val="18"/>
          <w:b w:val="1"/>
          <w:bCs w:val="1"/>
          <w:color w:val="auto"/>
        </w:rPr>
        <w:t>Phase 2</w:t>
      </w:r>
      <w:r>
        <w:rPr>
          <w:rFonts w:ascii="Arial" w:cs="Arial" w:eastAsia="Arial" w:hAnsi="Arial"/>
          <w:sz w:val="18"/>
          <w:szCs w:val="18"/>
          <w:color w:val="auto"/>
        </w:rPr>
        <w:t>” and “</w:t>
      </w:r>
      <w:r>
        <w:rPr>
          <w:rFonts w:ascii="Arial" w:cs="Arial" w:eastAsia="Arial" w:hAnsi="Arial"/>
          <w:sz w:val="18"/>
          <w:szCs w:val="18"/>
          <w:b w:val="1"/>
          <w:bCs w:val="1"/>
          <w:color w:val="auto"/>
        </w:rPr>
        <w:t>Phase 3</w:t>
      </w:r>
      <w:r>
        <w:rPr>
          <w:rFonts w:ascii="Arial" w:cs="Arial" w:eastAsia="Arial" w:hAnsi="Arial"/>
          <w:sz w:val="18"/>
          <w:szCs w:val="18"/>
          <w:color w:val="auto"/>
        </w:rPr>
        <w:t xml:space="preserve">” have the meanings as provided in “DESCRIPTION OF BUSINESS </w:t>
      </w:r>
      <w:r>
        <w:rPr>
          <w:rFonts w:ascii="Arial" w:cs="Arial" w:eastAsia="Arial" w:hAnsi="Arial"/>
          <w:sz w:val="18"/>
          <w:szCs w:val="18"/>
          <w:i w:val="1"/>
          <w:iCs w:val="1"/>
          <w:color w:val="auto"/>
        </w:rPr>
        <w:t>– Supply of Electrical Power, Electricity Rates, Terms of Service and the Régie de l’Énergie</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Rio Cuarto Facility</w:t>
      </w:r>
      <w:r>
        <w:rPr>
          <w:rFonts w:ascii="Arial" w:cs="Arial" w:eastAsia="Arial" w:hAnsi="Arial"/>
          <w:sz w:val="17"/>
          <w:szCs w:val="17"/>
          <w:color w:val="auto"/>
        </w:rPr>
        <w:t>” means the facility in Cordoba, Argentina, for which the Company entered into an eight-year lease agreement in July 2021;</w:t>
      </w:r>
    </w:p>
    <w:p>
      <w:pPr>
        <w:spacing w:after="0" w:line="23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“September Sherbrooke Agreement</w:t>
      </w:r>
      <w:r>
        <w:rPr>
          <w:rFonts w:ascii="Arial" w:cs="Arial" w:eastAsia="Arial" w:hAnsi="Arial"/>
          <w:sz w:val="18"/>
          <w:szCs w:val="18"/>
          <w:color w:val="auto"/>
        </w:rPr>
        <w:t>” means the agreement between the Company and the City of Sherbrooke to develop 96 MW of hydropower, entered</w:t>
      </w:r>
      <w:r>
        <w:rPr>
          <w:rFonts w:ascii="Arial" w:cs="Arial" w:eastAsia="Arial" w:hAnsi="Arial"/>
          <w:sz w:val="18"/>
          <w:szCs w:val="18"/>
          <w:b w:val="1"/>
          <w:bCs w:val="1"/>
          <w:color w:val="auto"/>
        </w:rPr>
        <w:t xml:space="preserve"> </w:t>
      </w:r>
      <w:r>
        <w:rPr>
          <w:rFonts w:ascii="Arial" w:cs="Arial" w:eastAsia="Arial" w:hAnsi="Arial"/>
          <w:sz w:val="18"/>
          <w:szCs w:val="18"/>
          <w:color w:val="auto"/>
        </w:rPr>
        <w:t>into on September 7, 2021;</w:t>
      </w:r>
    </w:p>
    <w:p>
      <w:pPr>
        <w:spacing w:after="0" w:line="162" w:lineRule="exact"/>
        <w:rPr>
          <w:sz w:val="20"/>
          <w:szCs w:val="20"/>
          <w:color w:val="auto"/>
        </w:rPr>
      </w:pPr>
    </w:p>
    <w:p>
      <w:pPr>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server farms</w:t>
      </w:r>
      <w:r>
        <w:rPr>
          <w:rFonts w:ascii="Arial" w:cs="Arial" w:eastAsia="Arial" w:hAnsi="Arial"/>
          <w:sz w:val="17"/>
          <w:szCs w:val="17"/>
          <w:color w:val="auto"/>
        </w:rPr>
        <w:t>” means specialized computers often held in large warehouses where the computers, also known as Miners, validate and verify transactions on a public blockchain. Digital coins or tokens are issued by the applicable cryptocurrency network when miners solve hash functions;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Sherbrooke Expansion</w:t>
      </w:r>
      <w:r>
        <w:rPr>
          <w:rFonts w:ascii="Arial" w:cs="Arial" w:eastAsia="Arial" w:hAnsi="Arial"/>
          <w:sz w:val="18"/>
          <w:szCs w:val="18"/>
          <w:color w:val="auto"/>
        </w:rPr>
        <w:t>” means the planned construction of server farm facilities in stages in Sherbrooke, Québec;</w:t>
      </w:r>
    </w:p>
    <w:p>
      <w:pPr>
        <w:spacing w:after="0" w:line="225" w:lineRule="exact"/>
        <w:rPr>
          <w:sz w:val="20"/>
          <w:szCs w:val="20"/>
          <w:color w:val="auto"/>
        </w:rPr>
      </w:pPr>
    </w:p>
    <w:p>
      <w:pPr>
        <w:ind w:right="1200"/>
        <w:spacing w:after="0" w:line="5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Stage</w:t>
      </w:r>
      <w:r>
        <w:rPr>
          <w:rFonts w:ascii="Arial" w:cs="Arial" w:eastAsia="Arial" w:hAnsi="Arial"/>
          <w:sz w:val="18"/>
          <w:szCs w:val="18"/>
          <w:color w:val="auto"/>
        </w:rPr>
        <w:t>” has the meaning as provided for in “</w:t>
      </w:r>
      <w:r>
        <w:rPr>
          <w:rFonts w:ascii="Arial" w:cs="Arial" w:eastAsia="Arial" w:hAnsi="Arial"/>
          <w:sz w:val="18"/>
          <w:szCs w:val="18"/>
          <w:i w:val="1"/>
          <w:iCs w:val="1"/>
          <w:color w:val="auto"/>
        </w:rPr>
        <w:t>DESCRIPTION OF BUSINESS – Development and Future Growth – Sherbrooke Expansion”</w:t>
      </w:r>
      <w:r>
        <w:rPr>
          <w:rFonts w:ascii="Arial" w:cs="Arial" w:eastAsia="Arial" w:hAnsi="Arial"/>
          <w:sz w:val="18"/>
          <w:szCs w:val="18"/>
          <w:color w:val="auto"/>
        </w:rPr>
        <w:t>; “</w:t>
      </w:r>
      <w:r>
        <w:rPr>
          <w:rFonts w:ascii="Arial" w:cs="Arial" w:eastAsia="Arial" w:hAnsi="Arial"/>
          <w:sz w:val="18"/>
          <w:szCs w:val="18"/>
          <w:b w:val="1"/>
          <w:bCs w:val="1"/>
          <w:color w:val="auto"/>
        </w:rPr>
        <w:t>TASE</w:t>
      </w:r>
      <w:r>
        <w:rPr>
          <w:rFonts w:ascii="Arial" w:cs="Arial" w:eastAsia="Arial" w:hAnsi="Arial"/>
          <w:sz w:val="18"/>
          <w:szCs w:val="18"/>
          <w:color w:val="auto"/>
        </w:rPr>
        <w:t>” means the Tel Aviv Stock Exchange;</w:t>
      </w:r>
    </w:p>
    <w:p>
      <w:pPr>
        <w:spacing w:after="0" w:line="2" w:lineRule="exact"/>
        <w:rPr>
          <w:sz w:val="20"/>
          <w:szCs w:val="20"/>
          <w:color w:val="auto"/>
        </w:rPr>
      </w:pPr>
    </w:p>
    <w:p>
      <w:pPr>
        <w:ind w:left="60" w:hanging="4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#2 Restructuring</w:t>
      </w:r>
      <w:r>
        <w:rPr>
          <w:rFonts w:ascii="Arial" w:cs="Arial" w:eastAsia="Arial" w:hAnsi="Arial"/>
          <w:sz w:val="18"/>
          <w:szCs w:val="18"/>
          <w:color w:val="auto"/>
        </w:rPr>
        <w:t>” has the meaning as provided for in “</w:t>
      </w:r>
      <w:r>
        <w:rPr>
          <w:rFonts w:ascii="Arial" w:cs="Arial" w:eastAsia="Arial" w:hAnsi="Arial"/>
          <w:sz w:val="18"/>
          <w:szCs w:val="18"/>
          <w:i w:val="1"/>
          <w:iCs w:val="1"/>
          <w:color w:val="auto"/>
        </w:rPr>
        <w:t>GENERAL DEVELOPMENT OF THE BUSINESS – Three Year History – Fiscal 2019 –</w:t>
      </w:r>
      <w:r>
        <w:rPr>
          <w:rFonts w:ascii="Arial" w:cs="Arial" w:eastAsia="Arial" w:hAnsi="Arial"/>
          <w:sz w:val="18"/>
          <w:szCs w:val="18"/>
          <w:color w:val="auto"/>
        </w:rPr>
        <w:t xml:space="preserve"> </w:t>
      </w:r>
      <w:r>
        <w:rPr>
          <w:rFonts w:ascii="Arial" w:cs="Arial" w:eastAsia="Arial" w:hAnsi="Arial"/>
          <w:sz w:val="18"/>
          <w:szCs w:val="18"/>
          <w:i w:val="1"/>
          <w:iCs w:val="1"/>
          <w:color w:val="auto"/>
        </w:rPr>
        <w:t>Debt Financing</w:t>
      </w:r>
      <w:r>
        <w:rPr>
          <w:rFonts w:ascii="Arial" w:cs="Arial" w:eastAsia="Arial" w:hAnsi="Arial"/>
          <w:sz w:val="18"/>
          <w:szCs w:val="18"/>
          <w:color w:val="auto"/>
        </w:rPr>
        <w:t>”;</w:t>
      </w:r>
    </w:p>
    <w:p>
      <w:pPr>
        <w:spacing w:after="0" w:line="162" w:lineRule="exact"/>
        <w:rPr>
          <w:sz w:val="20"/>
          <w:szCs w:val="20"/>
          <w:color w:val="auto"/>
        </w:rPr>
      </w:pPr>
    </w:p>
    <w:p>
      <w:pPr>
        <w:ind w:left="60" w:hanging="4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#3 Restructuring</w:t>
      </w:r>
      <w:r>
        <w:rPr>
          <w:rFonts w:ascii="Arial" w:cs="Arial" w:eastAsia="Arial" w:hAnsi="Arial"/>
          <w:sz w:val="18"/>
          <w:szCs w:val="18"/>
          <w:color w:val="auto"/>
        </w:rPr>
        <w:t>” has the meaning as provided for in “</w:t>
      </w:r>
      <w:r>
        <w:rPr>
          <w:rFonts w:ascii="Arial" w:cs="Arial" w:eastAsia="Arial" w:hAnsi="Arial"/>
          <w:sz w:val="18"/>
          <w:szCs w:val="18"/>
          <w:i w:val="1"/>
          <w:iCs w:val="1"/>
          <w:color w:val="auto"/>
        </w:rPr>
        <w:t>GENERAL DEVELOPMENT OF THE BUSINESS – Three Year History – Fiscal 2019 –</w:t>
      </w:r>
      <w:r>
        <w:rPr>
          <w:rFonts w:ascii="Arial" w:cs="Arial" w:eastAsia="Arial" w:hAnsi="Arial"/>
          <w:sz w:val="18"/>
          <w:szCs w:val="18"/>
          <w:color w:val="auto"/>
        </w:rPr>
        <w:t xml:space="preserve"> </w:t>
      </w:r>
      <w:r>
        <w:rPr>
          <w:rFonts w:ascii="Arial" w:cs="Arial" w:eastAsia="Arial" w:hAnsi="Arial"/>
          <w:sz w:val="18"/>
          <w:szCs w:val="18"/>
          <w:i w:val="1"/>
          <w:iCs w:val="1"/>
          <w:color w:val="auto"/>
        </w:rPr>
        <w:t>Debt Financing</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TSXV</w:t>
      </w:r>
      <w:r>
        <w:rPr>
          <w:rFonts w:ascii="Arial" w:cs="Arial" w:eastAsia="Arial" w:hAnsi="Arial"/>
          <w:sz w:val="18"/>
          <w:szCs w:val="18"/>
          <w:color w:val="auto"/>
        </w:rPr>
        <w:t>” or the “</w:t>
      </w:r>
      <w:r>
        <w:rPr>
          <w:rFonts w:ascii="Arial" w:cs="Arial" w:eastAsia="Arial" w:hAnsi="Arial"/>
          <w:sz w:val="18"/>
          <w:szCs w:val="18"/>
          <w:b w:val="1"/>
          <w:bCs w:val="1"/>
          <w:color w:val="auto"/>
        </w:rPr>
        <w:t>Exchange</w:t>
      </w:r>
      <w:r>
        <w:rPr>
          <w:rFonts w:ascii="Arial" w:cs="Arial" w:eastAsia="Arial" w:hAnsi="Arial"/>
          <w:sz w:val="18"/>
          <w:szCs w:val="18"/>
          <w:color w:val="auto"/>
        </w:rPr>
        <w:t>” means the TSX Venture Exchange;</w:t>
      </w:r>
    </w:p>
    <w:p>
      <w:pPr>
        <w:spacing w:after="0" w:line="225" w:lineRule="exact"/>
        <w:rPr>
          <w:sz w:val="20"/>
          <w:szCs w:val="20"/>
          <w:color w:val="auto"/>
        </w:rPr>
      </w:pPr>
    </w:p>
    <w:p>
      <w:pPr>
        <w:ind w:right="3700"/>
        <w:spacing w:after="0" w:line="53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Volta</w:t>
      </w:r>
      <w:r>
        <w:rPr>
          <w:rFonts w:ascii="Arial" w:cs="Arial" w:eastAsia="Arial" w:hAnsi="Arial"/>
          <w:sz w:val="18"/>
          <w:szCs w:val="18"/>
          <w:color w:val="auto"/>
        </w:rPr>
        <w:t>” means 9159-9290 Québec Inc., which also operates under the name Volta Électronique Inc.; and “</w:t>
      </w:r>
      <w:r>
        <w:rPr>
          <w:rFonts w:ascii="Arial" w:cs="Arial" w:eastAsia="Arial" w:hAnsi="Arial"/>
          <w:sz w:val="18"/>
          <w:szCs w:val="18"/>
          <w:b w:val="1"/>
          <w:bCs w:val="1"/>
          <w:color w:val="auto"/>
        </w:rPr>
        <w:t>Warrants</w:t>
      </w:r>
      <w:r>
        <w:rPr>
          <w:rFonts w:ascii="Arial" w:cs="Arial" w:eastAsia="Arial" w:hAnsi="Arial"/>
          <w:sz w:val="18"/>
          <w:szCs w:val="18"/>
          <w:color w:val="auto"/>
        </w:rPr>
        <w:t>” has the meaning ascribed thereto in “PRIOR SALES”.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6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this annual information form (“</w:t>
      </w:r>
      <w:r>
        <w:rPr>
          <w:rFonts w:ascii="Arial" w:cs="Arial" w:eastAsia="Arial" w:hAnsi="Arial"/>
          <w:sz w:val="18"/>
          <w:szCs w:val="18"/>
          <w:b w:val="1"/>
          <w:bCs w:val="1"/>
          <w:color w:val="auto"/>
        </w:rPr>
        <w:t>AIF</w:t>
      </w:r>
      <w:r>
        <w:rPr>
          <w:rFonts w:ascii="Arial" w:cs="Arial" w:eastAsia="Arial" w:hAnsi="Arial"/>
          <w:sz w:val="18"/>
          <w:szCs w:val="18"/>
          <w:color w:val="auto"/>
        </w:rPr>
        <w:t>”), Bitfarms Ltd., as the context requires, is referred to as the “</w:t>
      </w:r>
      <w:r>
        <w:rPr>
          <w:rFonts w:ascii="Arial" w:cs="Arial" w:eastAsia="Arial" w:hAnsi="Arial"/>
          <w:sz w:val="18"/>
          <w:szCs w:val="18"/>
          <w:b w:val="1"/>
          <w:bCs w:val="1"/>
          <w:color w:val="auto"/>
        </w:rPr>
        <w:t>Company</w:t>
      </w:r>
      <w:r>
        <w:rPr>
          <w:rFonts w:ascii="Arial" w:cs="Arial" w:eastAsia="Arial" w:hAnsi="Arial"/>
          <w:sz w:val="18"/>
          <w:szCs w:val="18"/>
          <w:color w:val="auto"/>
        </w:rPr>
        <w:t>” and “</w:t>
      </w:r>
      <w:r>
        <w:rPr>
          <w:rFonts w:ascii="Arial" w:cs="Arial" w:eastAsia="Arial" w:hAnsi="Arial"/>
          <w:sz w:val="18"/>
          <w:szCs w:val="18"/>
          <w:b w:val="1"/>
          <w:bCs w:val="1"/>
          <w:color w:val="auto"/>
        </w:rPr>
        <w:t>Bitfarms Canada</w:t>
      </w:r>
      <w:r>
        <w:rPr>
          <w:rFonts w:ascii="Arial" w:cs="Arial" w:eastAsia="Arial" w:hAnsi="Arial"/>
          <w:sz w:val="18"/>
          <w:szCs w:val="18"/>
          <w:color w:val="auto"/>
        </w:rPr>
        <w:t>”. All information contained in this AIF is at March 28, 2022, unless otherwise stated.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 is made in this AIF to the Financial Statements and MD&amp;A for Bitfarms Canada for Fiscal 2021, together with the auditor’s report thereon. The Financial Statements and MD&amp;A are available for review on the SEDAR website located at www.sedar.com.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financial information in this AIF for Fiscal 2021 has been prepared in accordance with IFRS.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FORWARD LOOKING STATEMENTS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Certain statements in this AIF are forward-looking statements or information (collectively “</w:t>
      </w:r>
      <w:r>
        <w:rPr>
          <w:rFonts w:ascii="Arial" w:cs="Arial" w:eastAsia="Arial" w:hAnsi="Arial"/>
          <w:sz w:val="16"/>
          <w:szCs w:val="16"/>
          <w:b w:val="1"/>
          <w:bCs w:val="1"/>
          <w:color w:val="auto"/>
        </w:rPr>
        <w:t>forward-looking statements</w:t>
      </w:r>
      <w:r>
        <w:rPr>
          <w:rFonts w:ascii="Arial" w:cs="Arial" w:eastAsia="Arial" w:hAnsi="Arial"/>
          <w:sz w:val="16"/>
          <w:szCs w:val="16"/>
          <w:color w:val="auto"/>
        </w:rPr>
        <w:t>”). Bitfarms Canada is providing cautionary statements identifying important factors that could cause the actual results of Bitfarms Canada to differ materially from those projected in these forward-looking statements. Any statements that express, or involve discussions as to, expectations, beliefs, plans, objectives, assumptions or future events or performance (often, but not always, through the use of words or phrases including, but not limited to, and including grammatical tense variations of such words as: “may”, “anticipates”, “is expected to”, “estimates”, “intends”, “plans”, “projection”, “could”, “vision”, “goals”, “objective” and “outlook”) are not historical facts and may be forward-looking and may involve estimates, assumptions and uncertainties which could cause actual results or outcomes to differ materially from those expressed in the forward-looking statements. In making these forward-looking statements, the Company has assumed that the current market will continue and grow and that the risks listed below will not adversely impact the Company.</w:t>
      </w:r>
    </w:p>
    <w:p>
      <w:pPr>
        <w:spacing w:after="0" w:line="1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By their nature, forward-looking statements involve numerous assumptions, inherent risks and uncertainties, both general and specific, which contribute to the possibility that the predicted outcomes may not occur or may be delayed. Forward-looking statements may relate to future financial conditions, results of operations, plans, objectives, performance or business developments. These statements speak only as of the date they are made and are based on information currently available and on the then current expectations and assumptions concerning future events, which are subject to a number of known and unknown risks, uncertainties and other factors that may cause actual results, performance or achievements to be materially different from that which was expressed or implied by such forward-looking statements, including, but not limited to, risks and uncertainties related to:</w:t>
      </w:r>
    </w:p>
    <w:p>
      <w:pPr>
        <w:spacing w:after="0" w:line="16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availability of financing opportunities, risks associated with economic conditions, dependence on management and conflicts of interest;</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service debt obligations and maintain flexibility in respect of debt covenants;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dependence on regulated terms of service and electricity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speculative and competitive nature of the technology sector;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dependency in continued growth in blockchain and cryptocurrency usage;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lawsuits and other legal proceedings and challenges;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conflict of interests with directors and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government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other risks described in this AIF and described from time to time in documents filed with Canadian securities regulatory authorities;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factors beyond the Company’s control.</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7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spacing w:after="0" w:line="285" w:lineRule="auto"/>
        <w:rPr>
          <w:sz w:val="20"/>
          <w:szCs w:val="20"/>
          <w:color w:val="auto"/>
        </w:rPr>
      </w:pPr>
      <w:r>
        <w:rPr>
          <w:rFonts w:ascii="Arial" w:cs="Arial" w:eastAsia="Arial" w:hAnsi="Arial"/>
          <w:sz w:val="16"/>
          <w:szCs w:val="16"/>
          <w:color w:val="auto"/>
        </w:rPr>
        <w:t>Other factors which may cause the actual results, performance or achievements of the Company to be materially different from any future results, performance or achievements expressed or implied by such forward-looking information include, among others, risks relating to: the Company’s limited operating history; future capital needs and uncertainty of additional financing; share price fluctuations; the need for the Company to manage its planned growth and expansion; cybersecurity threats and hacking; possibility of cessation of monetization of cryptocurrencies; limited history of de-centralized financial system; technological obsolescence and difficulty in obtaining hardware; price volatility of cryptocurrencies; the Bitcoin Halving Events; cryptocurrency network difficulty and impact of increased global computing power; economic dependence on regulated terms of service and electricity rates risks; future profits/losses and production revenues/expenses; cryptocurrency exchanges are new and mostly unregulated; discretion regarding by the Company of available funds; political and regulatory risk; permits and licenses; server failures; global financial conditions; tax consequences; environmental regulations; environmental liability; erroneous transactions and human error; the continued development of existing and planned facilities; risks of non-availability of insurance; competition; reliance on key personnel; credit risk; uncertainty of widespread use of cryptocurrency; interest rate risk; fluctuations in currency exchange rates; controlling shareholder risk; and COVID-19 pandemic risk. Particular factors which could impact future results of the business of the Company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the volatility of digital currency prices; the anticipated sustainability of hydroelectricity at economical prices for the purposes of cryptocurrency mining in the Province of Québec, Washington state and Paraguay; the ability to complete current and future financings; any regulations or laws that will prevent the Company from operating its business; historical prices of digital currencies and the ability to mine digital currencies that will be consistent with historical prices.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Further, any forward-looking statement speaks only as of the date on which such statement is made and, except as required by applicable law, the Company undertakes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and to assess in advance the impact of each such factor on the business of the Company or the extent to which any factor, or combination of factors, may cause actual results to differ materially from those contained in any forward-looking statement. See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CURRENCY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Unless otherwise indicated, all references to “$”, “USD$” or “dollars” refer to United States dollars, references to CAD$ refer to Canadian dollars, and references to NIS refer to Israeli new shekels.</w:t>
      </w: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8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CORPORATE STRUCTURE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Address and Incorporation</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Bitfarms Canada was incorporated under the Canada Business Corporations Act (the “</w:t>
      </w:r>
      <w:r>
        <w:rPr>
          <w:rFonts w:ascii="Arial" w:cs="Arial" w:eastAsia="Arial" w:hAnsi="Arial"/>
          <w:sz w:val="18"/>
          <w:szCs w:val="18"/>
          <w:b w:val="1"/>
          <w:bCs w:val="1"/>
          <w:color w:val="auto"/>
        </w:rPr>
        <w:t>CBCA</w:t>
      </w:r>
      <w:r>
        <w:rPr>
          <w:rFonts w:ascii="Arial" w:cs="Arial" w:eastAsia="Arial" w:hAnsi="Arial"/>
          <w:sz w:val="18"/>
          <w:szCs w:val="18"/>
          <w:color w:val="auto"/>
        </w:rPr>
        <w:t>”) on October 11, 2018 and continued under the Business Corporations Act (Ontario) (</w:t>
      </w:r>
      <w:r>
        <w:rPr>
          <w:rFonts w:ascii="Arial" w:cs="Arial" w:eastAsia="Arial" w:hAnsi="Arial"/>
          <w:sz w:val="18"/>
          <w:szCs w:val="18"/>
          <w:b w:val="1"/>
          <w:bCs w:val="1"/>
          <w:color w:val="auto"/>
        </w:rPr>
        <w:t>“OBCA</w:t>
      </w:r>
      <w:r>
        <w:rPr>
          <w:rFonts w:ascii="Arial" w:cs="Arial" w:eastAsia="Arial" w:hAnsi="Arial"/>
          <w:sz w:val="18"/>
          <w:szCs w:val="18"/>
          <w:color w:val="auto"/>
        </w:rPr>
        <w:t>”) on August 27, 2021. Bitfarms Canada has its registered and head office located at 18 King St. E, Suite 902, Toronto, ON M5C 1C4. The Company’s common shares are listed under the symbol “BITF” on the TSXV and under “BITF” on the Nasdaq Stock Market in the United States.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Intercorporate Relationships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Canada has eight wholly-controlled material subsidiaries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151765</wp:posOffset>
            </wp:positionV>
            <wp:extent cx="4714875" cy="3197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1487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DEVELOPMENT OF THE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Year History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w:t>
      </w:r>
    </w:p>
    <w:p>
      <w:pPr>
        <w:spacing w:after="0" w:line="2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Backbone entered into a secured debt financing facility (the “</w:t>
      </w:r>
      <w:r>
        <w:rPr>
          <w:rFonts w:ascii="Arial" w:cs="Arial" w:eastAsia="Arial" w:hAnsi="Arial"/>
          <w:sz w:val="17"/>
          <w:szCs w:val="17"/>
          <w:b w:val="1"/>
          <w:bCs w:val="1"/>
          <w:color w:val="auto"/>
        </w:rPr>
        <w:t>Dominion Facility</w:t>
      </w:r>
      <w:r>
        <w:rPr>
          <w:rFonts w:ascii="Arial" w:cs="Arial" w:eastAsia="Arial" w:hAnsi="Arial"/>
          <w:sz w:val="17"/>
          <w:szCs w:val="17"/>
          <w:color w:val="auto"/>
        </w:rPr>
        <w:t>”) for up to $20.0 million with the Lender on March 14, 2019 (the “</w:t>
      </w:r>
      <w:r>
        <w:rPr>
          <w:rFonts w:ascii="Arial" w:cs="Arial" w:eastAsia="Arial" w:hAnsi="Arial"/>
          <w:sz w:val="17"/>
          <w:szCs w:val="17"/>
          <w:b w:val="1"/>
          <w:bCs w:val="1"/>
          <w:color w:val="auto"/>
        </w:rPr>
        <w:t>Loan</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The debt facility was structured into four separate loans in tranches of $5.0 million per tranche (each a “</w:t>
      </w:r>
      <w:r>
        <w:rPr>
          <w:rFonts w:ascii="Arial" w:cs="Arial" w:eastAsia="Arial" w:hAnsi="Arial"/>
          <w:sz w:val="17"/>
          <w:szCs w:val="17"/>
          <w:b w:val="1"/>
          <w:bCs w:val="1"/>
          <w:color w:val="auto"/>
        </w:rPr>
        <w:t>Loan</w:t>
      </w:r>
      <w:r>
        <w:rPr>
          <w:rFonts w:ascii="Arial" w:cs="Arial" w:eastAsia="Arial" w:hAnsi="Arial"/>
          <w:sz w:val="17"/>
          <w:szCs w:val="17"/>
          <w:color w:val="auto"/>
        </w:rPr>
        <w:t>” and collectively,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Loans</w:t>
      </w:r>
      <w:r>
        <w:rPr>
          <w:rFonts w:ascii="Arial" w:cs="Arial" w:eastAsia="Arial" w:hAnsi="Arial"/>
          <w:sz w:val="17"/>
          <w:szCs w:val="17"/>
          <w:color w:val="auto"/>
        </w:rPr>
        <w:t>”), each such Loan which bore interest at 10% per annum on the initial principal balance of each tranche regardless of principal repayments made during the term of the Loan. The term of each Loan was 24 months with a balloon payment for any remaining outstanding balance at the end of the term. A monthly payment equivalent to 10% of the value of cryptocurrencies mined by Backbone during the month was required in repayment of the total Loans drawn. This amount was be applied to interest and the balance to principal and, in the event that the amount of the cryptocurrency mined was less than the amount of interest owing, such additional amount would be remitted such that the interest was payable in full. The Loans were fully secured by the assets of Backbone on a first priority basis. In addition to interest, the Company agreed to issue 1,666,667 Lender Warrants for each Loan drawn. An aggregate of 6,666,668 Lender Warrants have been issued for the Loans drawn down. In February 2021, the Dominion Facility has been repaid in its entirety and all Lender Warrants have been exercised.</w:t>
      </w: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9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Prospectus Filings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March 27, 2019, a preliminary long form non-offering prospectus of Bitfarms Canada was filed with the Ontario Securities Commission to become a reporting issuer. Subsequently, Bitfarms Canada became a reporting issuer upon receipt of the Prospectus filed with the Ontario Securities Commission on June 12,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 with Bitfarms Israel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June 12, 2019, pursuant to Sections 350-351 of the </w:t>
      </w:r>
      <w:r>
        <w:rPr>
          <w:rFonts w:ascii="Arial" w:cs="Arial" w:eastAsia="Arial" w:hAnsi="Arial"/>
          <w:sz w:val="18"/>
          <w:szCs w:val="18"/>
          <w:i w:val="1"/>
          <w:iCs w:val="1"/>
          <w:color w:val="auto"/>
        </w:rPr>
        <w:t>Israeli Companies Law</w:t>
      </w:r>
      <w:r>
        <w:rPr>
          <w:rFonts w:ascii="Arial" w:cs="Arial" w:eastAsia="Arial" w:hAnsi="Arial"/>
          <w:sz w:val="18"/>
          <w:szCs w:val="18"/>
          <w:color w:val="auto"/>
        </w:rPr>
        <w:t>, Bitfarms Canada entered into the Arrangement with Bitfarms Israel, pursuant to which Bitfarms Canada acquired 100% of the issued and outstanding shares of Bitfarms Israel in exchange for 39,739,785 Bitfarms Shares on a one Bitfarms Israel Share for one Bitfarms Canada Share basis and exchanged the Legacy Options for non-tradeable options of Bitfarms Canada with similar terms.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Arrangement was approved by Bitfarms Israel shareholders on April 8, 2019, and approved by the District Court of Law (Israel) on May 23, 2019. The Arrangement became effective on June 12, 2019, and on that same date, the Bitfarms Israel Shares were delisted from the TASE. In addition, the Backbone Exchangeable Shares were exchanged for Bitfarms Shares on June 12,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Agreement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Canada acquired 100% beneficial ownership of Backbone pursuant to the terms of the agreement entered into by the shareholders of Backbone. Bitfarms acquired an aggregate of 26,295,655 class A voting common shares of Backbone, being the remaining 39.3% of the issued and outstanding shares of Backbone not already owned by Bitfarms Canada. The acquisition was completed on August 15,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Operation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Aggregate expansion highlights across all five of the Company’s computing centres during Fiscal 2019 were as follows:</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13,300 new generation miners were purchased for USD$17.7M;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Growth of 605PH/s, or 291% increase in computational hash power;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infrastructure capacity to 64MW from 34MW at the beginning of the year;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Overall operational efficiency improved to approximately 14.3 petahash per MW.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and Management Changes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Fiscal 2020, the following changes to the Board and Management were made:</w:t>
      </w:r>
    </w:p>
    <w:p>
      <w:pPr>
        <w:spacing w:after="0" w:line="225" w:lineRule="exact"/>
        <w:rPr>
          <w:sz w:val="20"/>
          <w:szCs w:val="20"/>
          <w:color w:val="auto"/>
        </w:rPr>
      </w:pPr>
    </w:p>
    <w:p>
      <w:pPr>
        <w:ind w:left="66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March 11, 2020, Wes Fulford resigned as CEO and as a director of the Company and was issued 500,000 common shares in consideration for past services rendered and to satisfy certain historical entitlements. These Common Shares have a deemed value of $0.54 per share.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April 17, 2020, Brian Howlett was appointed as a director of the Company.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10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Effective May 15, 2020, Wendi Locke and Sophie Galper-Komet resigned as directors of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On May 19, 2020, Geoffrey Morphy was appointed as a director of the Company.</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On June 1, 2020, the Company expanded the responsibility of John Rim by appointing him as Chief Operating Officer in addition to Chief Financial Officer, and expanded the responsibility of Nicolas Bonta by appointing him as Chief Development Officer and Chairman. Ryan Hornby resigned as Executive Vice President and General Counsel of the Company effective June 1, 2020.</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On August 31, 2020, Geoffrey Morphy was appointed Executive Vice-President – Finance, Administration &amp; Corporate Development. Mr. Morphy resigned his position as a director of the Company to facilitate his role as a senior officer. John Rim resigned as Chief Operating Officer and CFO of the Company. In addition, Andres Finkielsztain was appointed as a director of the Company.</w:t>
      </w:r>
    </w:p>
    <w:p>
      <w:pPr>
        <w:spacing w:after="0" w:line="183" w:lineRule="exact"/>
        <w:rPr>
          <w:rFonts w:ascii="Arial" w:cs="Arial" w:eastAsia="Arial" w:hAnsi="Arial"/>
          <w:sz w:val="18"/>
          <w:szCs w:val="18"/>
          <w:color w:val="auto"/>
        </w:rPr>
      </w:pPr>
    </w:p>
    <w:p>
      <w:pPr>
        <w:ind w:left="620" w:hanging="302"/>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October 28, 2020, Mauro Ferrara was appointed Interim Chief Financial Officer and Corporate Secretary.</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1"/>
          <w:numId w:val="8"/>
        </w:numPr>
        <w:rPr>
          <w:rFonts w:ascii="Arial" w:cs="Arial" w:eastAsia="Arial" w:hAnsi="Arial"/>
          <w:sz w:val="16"/>
          <w:szCs w:val="16"/>
          <w:color w:val="auto"/>
        </w:rPr>
      </w:pPr>
      <w:r>
        <w:rPr>
          <w:rFonts w:ascii="Arial" w:cs="Arial" w:eastAsia="Arial" w:hAnsi="Arial"/>
          <w:sz w:val="16"/>
          <w:szCs w:val="16"/>
          <w:color w:val="auto"/>
        </w:rPr>
        <w:t>On December 29, 2020, Nicolas Bonta was appointed Executive Chairman, Brian Howlett was appointed Lead Director, Emiliano Grodzki was appointed Chief Executive Officer, Mathieu Vachon was appointed Chief Information Officer and Geoffrey Morphy was appointed President.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development of computing power in Fiscal 2020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50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auto"/>
              </w:rPr>
              <w:t>Announced:</w:t>
            </w:r>
          </w:p>
        </w:tc>
        <w:tc>
          <w:tcPr>
            <w:tcW w:w="224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1"/>
              </w:rPr>
              <w:t>Installed:</w:t>
            </w:r>
          </w:p>
        </w:tc>
        <w:tc>
          <w:tcPr>
            <w:tcW w:w="220" w:type="dxa"/>
            <w:vAlign w:val="bottom"/>
            <w:shd w:val="clear" w:color="auto" w:fill="F2F2F2"/>
          </w:tcPr>
          <w:p>
            <w:pPr>
              <w:spacing w:after="0"/>
              <w:rPr>
                <w:sz w:val="20"/>
                <w:szCs w:val="20"/>
                <w:color w:val="auto"/>
              </w:rPr>
            </w:pPr>
          </w:p>
        </w:tc>
        <w:tc>
          <w:tcPr>
            <w:tcW w:w="1040" w:type="dxa"/>
            <w:vAlign w:val="bottom"/>
            <w:shd w:val="clear" w:color="auto" w:fill="F2F2F2"/>
          </w:tcPr>
          <w:p>
            <w:pPr>
              <w:spacing w:after="0"/>
              <w:rPr>
                <w:sz w:val="20"/>
                <w:szCs w:val="20"/>
                <w:color w:val="auto"/>
              </w:rPr>
            </w:pPr>
          </w:p>
        </w:tc>
        <w:tc>
          <w:tcPr>
            <w:tcW w:w="5240" w:type="dxa"/>
            <w:vAlign w:val="bottom"/>
            <w:shd w:val="clear" w:color="auto" w:fill="F2F2F2"/>
          </w:tcPr>
          <w:p>
            <w:pPr>
              <w:ind w:left="1640"/>
              <w:spacing w:after="0"/>
              <w:rPr>
                <w:sz w:val="20"/>
                <w:szCs w:val="20"/>
                <w:color w:val="auto"/>
              </w:rPr>
            </w:pPr>
            <w:r>
              <w:rPr>
                <w:rFonts w:ascii="Arial" w:cs="Arial" w:eastAsia="Arial" w:hAnsi="Arial"/>
                <w:sz w:val="18"/>
                <w:szCs w:val="18"/>
                <w:b w:val="1"/>
                <w:bCs w:val="1"/>
                <w:color w:val="auto"/>
              </w:rPr>
              <w:t>Equipment:</w:t>
            </w:r>
          </w:p>
        </w:tc>
      </w:tr>
      <w:tr>
        <w:trPr>
          <w:trHeight w:val="217"/>
        </w:trPr>
        <w:tc>
          <w:tcPr>
            <w:tcW w:w="2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June, 2020</w:t>
            </w:r>
          </w:p>
        </w:tc>
        <w:tc>
          <w:tcPr>
            <w:tcW w:w="240" w:type="dxa"/>
            <w:vAlign w:val="bottom"/>
            <w:tcBorders>
              <w:top w:val="single" w:sz="8" w:color="F2F2F2"/>
            </w:tcBorders>
          </w:tcPr>
          <w:p>
            <w:pPr>
              <w:spacing w:after="0"/>
              <w:rPr>
                <w:sz w:val="18"/>
                <w:szCs w:val="18"/>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June, 2020</w:t>
            </w:r>
          </w:p>
        </w:tc>
        <w:tc>
          <w:tcPr>
            <w:tcW w:w="220" w:type="dxa"/>
            <w:vAlign w:val="bottom"/>
            <w:tcBorders>
              <w:top w:val="single" w:sz="8" w:color="F2F2F2"/>
            </w:tcBorders>
          </w:tcPr>
          <w:p>
            <w:pPr>
              <w:spacing w:after="0"/>
              <w:rPr>
                <w:sz w:val="18"/>
                <w:szCs w:val="18"/>
                <w:color w:val="auto"/>
              </w:rPr>
            </w:pPr>
          </w:p>
        </w:tc>
        <w:tc>
          <w:tcPr>
            <w:tcW w:w="6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4"/>
              </w:rPr>
              <w:t>Purchased: 1,847 MicroBT’s WhatsMiner M20S adding 133 PH of computing power</w:t>
            </w:r>
          </w:p>
        </w:tc>
      </w:tr>
      <w:tr>
        <w:trPr>
          <w:trHeight w:val="581"/>
        </w:trPr>
        <w:tc>
          <w:tcPr>
            <w:tcW w:w="2500" w:type="dxa"/>
            <w:vAlign w:val="bottom"/>
            <w:gridSpan w:val="2"/>
          </w:tcPr>
          <w:p>
            <w:pPr>
              <w:spacing w:after="0"/>
              <w:rPr>
                <w:sz w:val="20"/>
                <w:szCs w:val="20"/>
                <w:color w:val="auto"/>
              </w:rPr>
            </w:pPr>
            <w:r>
              <w:rPr>
                <w:rFonts w:ascii="Arial" w:cs="Arial" w:eastAsia="Arial" w:hAnsi="Arial"/>
                <w:sz w:val="18"/>
                <w:szCs w:val="18"/>
                <w:color w:val="auto"/>
              </w:rPr>
              <w:t>August, 2020</w:t>
            </w:r>
          </w:p>
        </w:tc>
        <w:tc>
          <w:tcPr>
            <w:tcW w:w="2240" w:type="dxa"/>
            <w:vAlign w:val="bottom"/>
          </w:tcPr>
          <w:p>
            <w:pPr>
              <w:jc w:val="center"/>
              <w:spacing w:after="0"/>
              <w:rPr>
                <w:sz w:val="20"/>
                <w:szCs w:val="20"/>
                <w:color w:val="auto"/>
              </w:rPr>
            </w:pPr>
            <w:r>
              <w:rPr>
                <w:rFonts w:ascii="Arial" w:cs="Arial" w:eastAsia="Arial" w:hAnsi="Arial"/>
                <w:sz w:val="18"/>
                <w:szCs w:val="18"/>
                <w:color w:val="auto"/>
                <w:w w:val="86"/>
              </w:rPr>
              <w:t>September, 2020</w:t>
            </w: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w w:val="89"/>
              </w:rPr>
              <w:t>Leased: 1,000</w:t>
            </w:r>
          </w:p>
        </w:tc>
        <w:tc>
          <w:tcPr>
            <w:tcW w:w="5240" w:type="dxa"/>
            <w:vAlign w:val="bottom"/>
          </w:tcPr>
          <w:p>
            <w:pPr>
              <w:ind w:left="20"/>
              <w:spacing w:after="0"/>
              <w:rPr>
                <w:sz w:val="20"/>
                <w:szCs w:val="20"/>
                <w:color w:val="auto"/>
              </w:rPr>
            </w:pPr>
            <w:r>
              <w:rPr>
                <w:rFonts w:ascii="Arial" w:cs="Arial" w:eastAsia="Arial" w:hAnsi="Arial"/>
                <w:sz w:val="18"/>
                <w:szCs w:val="18"/>
                <w:color w:val="auto"/>
                <w:w w:val="99"/>
              </w:rPr>
              <w:t>MicroBT’s WhatsMiner M31S</w:t>
            </w:r>
            <w:r>
              <w:rPr>
                <w:rFonts w:ascii="Arial" w:cs="Arial" w:eastAsia="Arial" w:hAnsi="Arial"/>
                <w:sz w:val="29"/>
                <w:szCs w:val="29"/>
                <w:color w:val="auto"/>
                <w:w w:val="99"/>
                <w:vertAlign w:val="superscript"/>
              </w:rPr>
              <w:t>+</w:t>
            </w:r>
            <w:r>
              <w:rPr>
                <w:rFonts w:ascii="Arial" w:cs="Arial" w:eastAsia="Arial" w:hAnsi="Arial"/>
                <w:sz w:val="18"/>
                <w:szCs w:val="18"/>
                <w:color w:val="auto"/>
                <w:w w:val="99"/>
              </w:rPr>
              <w:t xml:space="preserve"> adding 82 PH of computing power</w:t>
            </w:r>
          </w:p>
        </w:tc>
      </w:tr>
      <w:tr>
        <w:trPr>
          <w:trHeight w:val="309"/>
        </w:trPr>
        <w:tc>
          <w:tcPr>
            <w:tcW w:w="2500" w:type="dxa"/>
            <w:vAlign w:val="bottom"/>
            <w:gridSpan w:val="2"/>
          </w:tcPr>
          <w:p>
            <w:pPr>
              <w:spacing w:after="0"/>
              <w:rPr>
                <w:sz w:val="20"/>
                <w:szCs w:val="20"/>
                <w:color w:val="auto"/>
              </w:rPr>
            </w:pPr>
            <w:r>
              <w:rPr>
                <w:rFonts w:ascii="Arial" w:cs="Arial" w:eastAsia="Arial" w:hAnsi="Arial"/>
                <w:sz w:val="18"/>
                <w:szCs w:val="18"/>
                <w:color w:val="auto"/>
              </w:rPr>
              <w:t>October, 2020</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November, 2020</w:t>
            </w: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w w:val="89"/>
              </w:rPr>
              <w:t>Leased: 2,000</w:t>
            </w:r>
          </w:p>
        </w:tc>
        <w:tc>
          <w:tcPr>
            <w:tcW w:w="5240" w:type="dxa"/>
            <w:vAlign w:val="bottom"/>
          </w:tcPr>
          <w:p>
            <w:pPr>
              <w:ind w:left="20"/>
              <w:spacing w:after="0"/>
              <w:rPr>
                <w:sz w:val="20"/>
                <w:szCs w:val="20"/>
                <w:color w:val="auto"/>
              </w:rPr>
            </w:pPr>
            <w:r>
              <w:rPr>
                <w:rFonts w:ascii="Arial" w:cs="Arial" w:eastAsia="Arial" w:hAnsi="Arial"/>
                <w:sz w:val="18"/>
                <w:szCs w:val="18"/>
                <w:color w:val="auto"/>
              </w:rPr>
              <w:t>MicroBT’s WhatsMiner M31S adding 144 PH of computing power</w:t>
            </w:r>
          </w:p>
        </w:tc>
      </w:tr>
      <w:tr>
        <w:trPr>
          <w:trHeight w:val="418"/>
        </w:trPr>
        <w:tc>
          <w:tcPr>
            <w:tcW w:w="2500" w:type="dxa"/>
            <w:vAlign w:val="bottom"/>
            <w:gridSpan w:val="2"/>
          </w:tcPr>
          <w:p>
            <w:pPr>
              <w:spacing w:after="0"/>
              <w:rPr>
                <w:sz w:val="20"/>
                <w:szCs w:val="20"/>
                <w:color w:val="auto"/>
              </w:rPr>
            </w:pPr>
            <w:r>
              <w:rPr>
                <w:rFonts w:ascii="Arial" w:cs="Arial" w:eastAsia="Arial" w:hAnsi="Arial"/>
                <w:sz w:val="18"/>
                <w:szCs w:val="18"/>
                <w:color w:val="auto"/>
              </w:rPr>
              <w:t>September 2020 and October,</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December, 2020</w:t>
            </w: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w w:val="89"/>
              </w:rPr>
              <w:t>Leased: 1,000</w:t>
            </w:r>
          </w:p>
        </w:tc>
        <w:tc>
          <w:tcPr>
            <w:tcW w:w="5240" w:type="dxa"/>
            <w:vAlign w:val="bottom"/>
          </w:tcPr>
          <w:p>
            <w:pPr>
              <w:ind w:left="20"/>
              <w:spacing w:after="0"/>
              <w:rPr>
                <w:sz w:val="20"/>
                <w:szCs w:val="20"/>
                <w:color w:val="auto"/>
              </w:rPr>
            </w:pPr>
            <w:r>
              <w:rPr>
                <w:rFonts w:ascii="Arial" w:cs="Arial" w:eastAsia="Arial" w:hAnsi="Arial"/>
                <w:sz w:val="18"/>
                <w:szCs w:val="18"/>
                <w:color w:val="auto"/>
                <w:w w:val="94"/>
              </w:rPr>
              <w:t>MicroBT’s WhatsMiner M31S units adding 74 PH of computing power</w:t>
            </w: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418"/>
        </w:trPr>
        <w:tc>
          <w:tcPr>
            <w:tcW w:w="2500" w:type="dxa"/>
            <w:vAlign w:val="bottom"/>
            <w:gridSpan w:val="2"/>
          </w:tcPr>
          <w:p>
            <w:pPr>
              <w:spacing w:after="0"/>
              <w:rPr>
                <w:sz w:val="20"/>
                <w:szCs w:val="20"/>
                <w:color w:val="auto"/>
              </w:rPr>
            </w:pPr>
            <w:r>
              <w:rPr>
                <w:rFonts w:ascii="Arial" w:cs="Arial" w:eastAsia="Arial" w:hAnsi="Arial"/>
                <w:sz w:val="18"/>
                <w:szCs w:val="18"/>
                <w:color w:val="auto"/>
              </w:rPr>
              <w:t>December, 2020</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Q1 2021</w:t>
            </w:r>
          </w:p>
        </w:tc>
        <w:tc>
          <w:tcPr>
            <w:tcW w:w="1260" w:type="dxa"/>
            <w:vAlign w:val="bottom"/>
            <w:gridSpan w:val="2"/>
          </w:tcPr>
          <w:p>
            <w:pPr>
              <w:ind w:left="220"/>
              <w:spacing w:after="0"/>
              <w:rPr>
                <w:sz w:val="20"/>
                <w:szCs w:val="20"/>
                <w:color w:val="auto"/>
              </w:rPr>
            </w:pPr>
            <w:r>
              <w:rPr>
                <w:rFonts w:ascii="Arial" w:cs="Arial" w:eastAsia="Arial" w:hAnsi="Arial"/>
                <w:sz w:val="18"/>
                <w:szCs w:val="18"/>
                <w:color w:val="auto"/>
                <w:w w:val="89"/>
              </w:rPr>
              <w:t>Leased: 3,000</w:t>
            </w:r>
          </w:p>
        </w:tc>
        <w:tc>
          <w:tcPr>
            <w:tcW w:w="5240" w:type="dxa"/>
            <w:vAlign w:val="bottom"/>
          </w:tcPr>
          <w:p>
            <w:pPr>
              <w:ind w:left="20"/>
              <w:spacing w:after="0"/>
              <w:rPr>
                <w:sz w:val="20"/>
                <w:szCs w:val="20"/>
                <w:color w:val="auto"/>
              </w:rPr>
            </w:pPr>
            <w:r>
              <w:rPr>
                <w:rFonts w:ascii="Arial" w:cs="Arial" w:eastAsia="Arial" w:hAnsi="Arial"/>
                <w:sz w:val="18"/>
                <w:szCs w:val="18"/>
                <w:color w:val="auto"/>
                <w:w w:val="94"/>
              </w:rPr>
              <w:t>MicroBT’s WhatsMiner M31S+ units adding approximately 240 PH of</w:t>
            </w:r>
          </w:p>
        </w:tc>
      </w:tr>
      <w:tr>
        <w:trPr>
          <w:trHeight w:val="230"/>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500" w:type="dxa"/>
            <w:vAlign w:val="bottom"/>
            <w:gridSpan w:val="3"/>
          </w:tcPr>
          <w:p>
            <w:pPr>
              <w:ind w:left="220"/>
              <w:spacing w:after="0"/>
              <w:rPr>
                <w:sz w:val="20"/>
                <w:szCs w:val="20"/>
                <w:color w:val="auto"/>
              </w:rPr>
            </w:pPr>
            <w:r>
              <w:rPr>
                <w:rFonts w:ascii="Arial" w:cs="Arial" w:eastAsia="Arial" w:hAnsi="Arial"/>
                <w:sz w:val="18"/>
                <w:szCs w:val="18"/>
                <w:color w:val="auto"/>
              </w:rPr>
              <w:t>computing power</w:t>
            </w: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On October 26, 2020, the Company announced that it signed a nonbinding memorandum of understanding (“</w:t>
      </w:r>
      <w:r>
        <w:rPr>
          <w:rFonts w:ascii="Arial" w:cs="Arial" w:eastAsia="Arial" w:hAnsi="Arial"/>
          <w:sz w:val="18"/>
          <w:szCs w:val="18"/>
          <w:b w:val="1"/>
          <w:bCs w:val="1"/>
          <w:color w:val="auto"/>
        </w:rPr>
        <w:t>MOU</w:t>
      </w:r>
      <w:r>
        <w:rPr>
          <w:rFonts w:ascii="Arial" w:cs="Arial" w:eastAsia="Arial" w:hAnsi="Arial"/>
          <w:sz w:val="18"/>
          <w:szCs w:val="18"/>
          <w:color w:val="auto"/>
        </w:rPr>
        <w:t>”) with a private energy producer to secure exclusive use of up to 200 MW of electricity in South America at an average price of US 2 cents per kilowatt hour.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September 2020, the Company entered into an agreement with Dominion to amend its second loan tranche and third loan tranche. The amendment in respect of the second loan tranche of $5,000,000 resulted in the extension of the maturity date from the original due date of April 17, 2021 to November 1, 2021 (the “</w:t>
      </w:r>
      <w:r>
        <w:rPr>
          <w:rFonts w:ascii="Arial" w:cs="Arial" w:eastAsia="Arial" w:hAnsi="Arial"/>
          <w:sz w:val="16"/>
          <w:szCs w:val="16"/>
          <w:b w:val="1"/>
          <w:bCs w:val="1"/>
          <w:color w:val="auto"/>
        </w:rPr>
        <w:t>Tranche #2 Restructuring</w:t>
      </w:r>
      <w:r>
        <w:rPr>
          <w:rFonts w:ascii="Arial" w:cs="Arial" w:eastAsia="Arial" w:hAnsi="Arial"/>
          <w:sz w:val="16"/>
          <w:szCs w:val="16"/>
          <w:color w:val="auto"/>
        </w:rPr>
        <w:t>”). As consideration for the Tranche #2 Restructuring, the Company issued 1 million Common Shares to Dominion, and reduced the term of the 1,666,667 warrants, exercisable at USD$0.40 and modified the original expiry date of April 16, 2024, to November 1, 2021.</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amendment in respect of the third loan tranche of $5,000,000, due June 20, 2021, resulted in this tranche being made convertible, at the option of Dominion, into Common Shares at a fixed conversion of USD$0.59 per share, a premium of approximately 100% to the then current market price of the Common Shares (the “</w:t>
      </w:r>
      <w:r>
        <w:rPr>
          <w:rFonts w:ascii="Arial" w:cs="Arial" w:eastAsia="Arial" w:hAnsi="Arial"/>
          <w:sz w:val="18"/>
          <w:szCs w:val="18"/>
          <w:b w:val="1"/>
          <w:bCs w:val="1"/>
          <w:color w:val="auto"/>
        </w:rPr>
        <w:t>Tranche #3 Restructuring</w:t>
      </w:r>
      <w:r>
        <w:rPr>
          <w:rFonts w:ascii="Arial" w:cs="Arial" w:eastAsia="Arial" w:hAnsi="Arial"/>
          <w:sz w:val="18"/>
          <w:szCs w:val="18"/>
          <w:color w:val="auto"/>
        </w:rPr>
        <w:t>”). Further, pursuant to the Tranche #3 Restructuring, the previously issued 1,666,667 warrants exercisable at $0.40 per Common Share, expiring on June 20, 2024, were cancelled and 1,666,667 new warrants were issued at an exercise price of USD$0.304 per share and expiring on June 20, 2021.</w:t>
      </w: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11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As of the date of this AIF, the Dominion Facility has been repaid in its entirety and all Lender Warrants have been exercised.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and Management Changes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Fiscal 2021, the following changes to the Board and Management were made:</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Mathieu Vachon resigned as the Chief Information Officer and Director of the Company on January 14, 2021.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March 31, 2021, Darcy Donelle was appointed as Vice-President of Corporate Development.</w:t>
      </w:r>
    </w:p>
    <w:p>
      <w:pPr>
        <w:spacing w:after="0" w:line="9" w:lineRule="exact"/>
        <w:rPr>
          <w:rFonts w:ascii="Arial" w:cs="Arial" w:eastAsia="Arial" w:hAnsi="Arial"/>
          <w:sz w:val="18"/>
          <w:szCs w:val="18"/>
          <w:color w:val="auto"/>
        </w:rPr>
      </w:pPr>
    </w:p>
    <w:p>
      <w:pPr>
        <w:jc w:val="both"/>
        <w:ind w:left="660" w:right="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June 3, 2021, the Company announced Jeffrey Lucas was appointed as Chief Financial Officer of the Company effective June 14, 2021, and was issued 364,050 incentive stock options exercisable into one Common Share at a price of $5.45 for a period of five years, pursuant to the Company’s stock option plan.</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June 3, 2021, the Company announced Ben Gagnon was appointed Chief Mining Officer and Nathaniel Port, Director of Finance, was appointed Senior Vice President of Finance and Accounting, both effective June 1, 2021.</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September 6, 2021, Darcy Donelle resigned as the Vice-President of Corporate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November 1, 2021, Patricia Osorio was appointed as Vice-President of Corporate Affairs.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November 1, 2021, Benoit Gobeil was appointed as Senior Vice President of Operations and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December 9, 2021, Geoff Morphy was appointed as Chief Operating Officer in addition to his role as President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Placements</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7, 2021, the Company closed a private placement (the “</w:t>
      </w:r>
      <w:r>
        <w:rPr>
          <w:rFonts w:ascii="Arial" w:cs="Arial" w:eastAsia="Arial" w:hAnsi="Arial"/>
          <w:sz w:val="18"/>
          <w:szCs w:val="18"/>
          <w:b w:val="1"/>
          <w:bCs w:val="1"/>
          <w:color w:val="auto"/>
        </w:rPr>
        <w:t>January 7, 2021 Offering</w:t>
      </w:r>
      <w:r>
        <w:rPr>
          <w:rFonts w:ascii="Arial" w:cs="Arial" w:eastAsia="Arial" w:hAnsi="Arial"/>
          <w:sz w:val="18"/>
          <w:szCs w:val="18"/>
          <w:color w:val="auto"/>
        </w:rPr>
        <w:t>”) for gross proceeds of approximately CAD$20.0 million, comprised of 8,888,889 Common Shares along with warrants to purchase an aggregate of up to 8,888,889 Common Shares at a purchase price of CAD$2.25 per Common Share and associated warrant. The warrants have an exercise price of CAD$2.75 per Common Share and exercise period of three years. The net proceeds of the private placement were used by the Company principally to acquire additional miners, expand infrastructure, and improve its working capital position. H.C. Wainwright &amp; Co. acted as the agent and received (i) a cash commission equal to 8.0% of the gross proceeds of the January 7, 2021 Offering and (ii) 711,111 broker warrants, with each broker warrant exercisable for one Common Share of the Company at a price of CAD$2.81 at any time on or before January 8, 2024.</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January 11, the Company received notice from Dominion of its election to convert $5,000,000, the principal amount of the third loan tranche, into equity. The conversion to equity took place in January 2021.</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13, 2021, the Company closed a private placement (the “</w:t>
      </w:r>
      <w:r>
        <w:rPr>
          <w:rFonts w:ascii="Arial" w:cs="Arial" w:eastAsia="Arial" w:hAnsi="Arial"/>
          <w:sz w:val="17"/>
          <w:szCs w:val="17"/>
          <w:b w:val="1"/>
          <w:bCs w:val="1"/>
          <w:color w:val="auto"/>
        </w:rPr>
        <w:t>January 13, 2021 Offering</w:t>
      </w:r>
      <w:r>
        <w:rPr>
          <w:rFonts w:ascii="Arial" w:cs="Arial" w:eastAsia="Arial" w:hAnsi="Arial"/>
          <w:sz w:val="17"/>
          <w:szCs w:val="17"/>
          <w:color w:val="auto"/>
        </w:rPr>
        <w:t>”) for gross proceeds of approximately CAD$20.0 million, comprised of 5,586,593 Common Shares along with warrants to purchase an aggregate of up to 5,586,593 Common Shares at a purchase price of CAD$3.58 per Common Share and associated warrant. The warrants have an exercise price of USD$3.10 per Common Share and exercise period of three and a half years. The net proceeds of the private placement were used by the Company principally to acquire additional miners, expand infrastructure, and improve its working capital position. H.C. Wainwright &amp; Co. acted as the agent and received (i) a cash commission equal to 8.0% of the gross proceeds of the January 13, 2021 Offering and (ii) 446,927 broker warrants, with each such broker warrant exercisable for one Common Share of the Company at a price of USD$3.53 at any time on or before July 15, 2024.</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Ten percent of the gross proceeds of the January 7, 2021 Offering and January 13, 2021 Offering were utilized to reduce the amount of the respective outstanding Loans due in March and November 2021.</w:t>
      </w: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12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spacing w:after="0" w:line="273" w:lineRule="auto"/>
        <w:rPr>
          <w:sz w:val="20"/>
          <w:szCs w:val="20"/>
          <w:color w:val="auto"/>
        </w:rPr>
      </w:pPr>
      <w:r>
        <w:rPr>
          <w:rFonts w:ascii="Arial" w:cs="Arial" w:eastAsia="Arial" w:hAnsi="Arial"/>
          <w:sz w:val="17"/>
          <w:szCs w:val="17"/>
          <w:color w:val="auto"/>
        </w:rPr>
        <w:t>On February 10, 2021, the Company closed a private placement (the “</w:t>
      </w:r>
      <w:r>
        <w:rPr>
          <w:rFonts w:ascii="Arial" w:cs="Arial" w:eastAsia="Arial" w:hAnsi="Arial"/>
          <w:sz w:val="17"/>
          <w:szCs w:val="17"/>
          <w:b w:val="1"/>
          <w:bCs w:val="1"/>
          <w:color w:val="auto"/>
        </w:rPr>
        <w:t>February 2021 Offering</w:t>
      </w:r>
      <w:r>
        <w:rPr>
          <w:rFonts w:ascii="Arial" w:cs="Arial" w:eastAsia="Arial" w:hAnsi="Arial"/>
          <w:sz w:val="17"/>
          <w:szCs w:val="17"/>
          <w:color w:val="auto"/>
        </w:rPr>
        <w:t>”) for gross proceeds of approximately CAD$40.0 million, comprised of 11,560,695 common shares along with warrants to purchase an aggregate of up to 11,560,695 common shares at a purchase price of CAD$3.46 per common share and associated warrant. The warrants have an exercise price of USD$3.01 per common share and exercise period of three and one-half years. The net proceeds of the private placement were used by the Company principally to acquire additional miners, expand infrastructure, and improve its working capital position. H.C. Wainwright &amp; Co. acted as the agent and received (i) a cash commission equal to 8.0% of the gross proceeds of the February 2021 Offering and (ii) 924,856 broker warrants, with each broker warrant exercisable for one Common Share of the Company at a price of USD$3.39 at any time on or before August 12, 2024.</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May 20, 2021, the Company closed a private placement (the “</w:t>
      </w:r>
      <w:r>
        <w:rPr>
          <w:rFonts w:ascii="Arial" w:cs="Arial" w:eastAsia="Arial" w:hAnsi="Arial"/>
          <w:sz w:val="16"/>
          <w:szCs w:val="16"/>
          <w:b w:val="1"/>
          <w:bCs w:val="1"/>
          <w:color w:val="auto"/>
        </w:rPr>
        <w:t>May 2021 Offering</w:t>
      </w:r>
      <w:r>
        <w:rPr>
          <w:rFonts w:ascii="Arial" w:cs="Arial" w:eastAsia="Arial" w:hAnsi="Arial"/>
          <w:sz w:val="16"/>
          <w:szCs w:val="16"/>
          <w:color w:val="auto"/>
        </w:rPr>
        <w:t>”) for gross proceeds of approximately CAD$75.0 million, comprised of 14,150,940 common shares along with warrants to purchase an aggregate of up to 10,613,208 common shares at a purchase price of CAD$5.30 per common share and associated warrant. The warrants have an exercise price of US$4.87 per common share and an exercise period of three years (through May 20, 2024). The net proceeds were used by the Company principally to acquire additional miners, expand infrastructure and improve its working capital position. H.C. Wainwright &amp; Co. acted as the agent and received (i) a cash commission equal to 8.0% of the gross proceeds of the May 2021 Offering, and (ii) 1,132,076 non-transferrable broker warrants each exercisable for one Common Share at a price of USD$5.49 at any time on or before May 20, 2024.</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December 30, 2021, the Company secured a US$100 million credit facility with Galaxy Digital LLC (the “</w:t>
      </w:r>
      <w:r>
        <w:rPr>
          <w:rFonts w:ascii="Arial" w:cs="Arial" w:eastAsia="Arial" w:hAnsi="Arial"/>
          <w:sz w:val="18"/>
          <w:szCs w:val="18"/>
          <w:b w:val="1"/>
          <w:bCs w:val="1"/>
          <w:color w:val="auto"/>
        </w:rPr>
        <w:t>December 2021 Debt Facility</w:t>
      </w:r>
      <w:r>
        <w:rPr>
          <w:rFonts w:ascii="Arial" w:cs="Arial" w:eastAsia="Arial" w:hAnsi="Arial"/>
          <w:sz w:val="18"/>
          <w:szCs w:val="18"/>
          <w:color w:val="auto"/>
        </w:rPr>
        <w:t>”). The December 2021 Debt Facility is a revolving, multi-draw credit facility that renews annually. The Company made an initial US$60 million draw with a six-month term at an interest rate of 10.75% per annum (the “</w:t>
      </w:r>
      <w:r>
        <w:rPr>
          <w:rFonts w:ascii="Arial" w:cs="Arial" w:eastAsia="Arial" w:hAnsi="Arial"/>
          <w:sz w:val="18"/>
          <w:szCs w:val="18"/>
          <w:b w:val="1"/>
          <w:bCs w:val="1"/>
          <w:color w:val="auto"/>
        </w:rPr>
        <w:t>Initial Draw</w:t>
      </w:r>
      <w:r>
        <w:rPr>
          <w:rFonts w:ascii="Arial" w:cs="Arial" w:eastAsia="Arial" w:hAnsi="Arial"/>
          <w:sz w:val="18"/>
          <w:szCs w:val="18"/>
          <w:color w:val="auto"/>
        </w:rPr>
        <w:t>”). The credit facility is secured by Bitcoin, with the minimum value of Bitcoin pledged as collateral calculated as 143% of the amount borrowed. The Initial Draw and the December 2021 Debt Facility will be used for general corporate purposes and for the Company’s global growth initiatives.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development of computing power in Fiscal 2021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28975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50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auto"/>
              </w:rPr>
              <w:t>Announced:</w:t>
            </w:r>
          </w:p>
        </w:tc>
        <w:tc>
          <w:tcPr>
            <w:tcW w:w="224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1"/>
              </w:rPr>
              <w:t>Installed:</w:t>
            </w:r>
          </w:p>
        </w:tc>
        <w:tc>
          <w:tcPr>
            <w:tcW w:w="220" w:type="dxa"/>
            <w:vAlign w:val="bottom"/>
            <w:shd w:val="clear" w:color="auto" w:fill="F2F2F2"/>
          </w:tcPr>
          <w:p>
            <w:pPr>
              <w:spacing w:after="0"/>
              <w:rPr>
                <w:sz w:val="20"/>
                <w:szCs w:val="20"/>
                <w:color w:val="auto"/>
              </w:rPr>
            </w:pPr>
          </w:p>
        </w:tc>
        <w:tc>
          <w:tcPr>
            <w:tcW w:w="6280" w:type="dxa"/>
            <w:vAlign w:val="bottom"/>
            <w:shd w:val="clear" w:color="auto" w:fill="F2F2F2"/>
          </w:tcPr>
          <w:p>
            <w:pPr>
              <w:ind w:left="2680"/>
              <w:spacing w:after="0"/>
              <w:rPr>
                <w:sz w:val="20"/>
                <w:szCs w:val="20"/>
                <w:color w:val="auto"/>
              </w:rPr>
            </w:pPr>
            <w:r>
              <w:rPr>
                <w:rFonts w:ascii="Arial" w:cs="Arial" w:eastAsia="Arial" w:hAnsi="Arial"/>
                <w:sz w:val="18"/>
                <w:szCs w:val="18"/>
                <w:b w:val="1"/>
                <w:bCs w:val="1"/>
                <w:color w:val="auto"/>
              </w:rPr>
              <w:t>Equipment:</w:t>
            </w:r>
          </w:p>
        </w:tc>
      </w:tr>
      <w:tr>
        <w:trPr>
          <w:trHeight w:val="189"/>
        </w:trPr>
        <w:tc>
          <w:tcPr>
            <w:tcW w:w="22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December, 2020</w:t>
            </w:r>
          </w:p>
        </w:tc>
        <w:tc>
          <w:tcPr>
            <w:tcW w:w="240" w:type="dxa"/>
            <w:vAlign w:val="bottom"/>
            <w:tcBorders>
              <w:top w:val="single" w:sz="8" w:color="F2F2F2"/>
            </w:tcBorders>
          </w:tcPr>
          <w:p>
            <w:pPr>
              <w:spacing w:after="0"/>
              <w:rPr>
                <w:sz w:val="16"/>
                <w:szCs w:val="16"/>
                <w:color w:val="auto"/>
              </w:rPr>
            </w:pPr>
          </w:p>
        </w:tc>
        <w:tc>
          <w:tcPr>
            <w:tcW w:w="22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Q1 2021</w:t>
            </w:r>
          </w:p>
        </w:tc>
        <w:tc>
          <w:tcPr>
            <w:tcW w:w="220" w:type="dxa"/>
            <w:vAlign w:val="bottom"/>
            <w:tcBorders>
              <w:top w:val="single" w:sz="8" w:color="F2F2F2"/>
            </w:tcBorders>
          </w:tcPr>
          <w:p>
            <w:pPr>
              <w:spacing w:after="0"/>
              <w:rPr>
                <w:sz w:val="16"/>
                <w:szCs w:val="16"/>
                <w:color w:val="auto"/>
              </w:rPr>
            </w:pPr>
          </w:p>
        </w:tc>
        <w:tc>
          <w:tcPr>
            <w:tcW w:w="62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3"/>
              </w:rPr>
              <w:t>Leased: 3,000 MicroBT’s WhatsMiner M31S+ units adding approximately 240 PH of</w:t>
            </w:r>
          </w:p>
        </w:tc>
      </w:tr>
      <w:tr>
        <w:trPr>
          <w:trHeight w:val="230"/>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500" w:type="dxa"/>
            <w:vAlign w:val="bottom"/>
            <w:gridSpan w:val="2"/>
          </w:tcPr>
          <w:p>
            <w:pPr>
              <w:ind w:left="220"/>
              <w:spacing w:after="0"/>
              <w:rPr>
                <w:sz w:val="20"/>
                <w:szCs w:val="20"/>
                <w:color w:val="auto"/>
              </w:rPr>
            </w:pPr>
            <w:r>
              <w:rPr>
                <w:rFonts w:ascii="Arial" w:cs="Arial" w:eastAsia="Arial" w:hAnsi="Arial"/>
                <w:sz w:val="18"/>
                <w:szCs w:val="18"/>
                <w:color w:val="auto"/>
              </w:rPr>
              <w:t>computing power</w:t>
            </w:r>
          </w:p>
        </w:tc>
      </w:tr>
      <w:tr>
        <w:trPr>
          <w:trHeight w:val="418"/>
        </w:trPr>
        <w:tc>
          <w:tcPr>
            <w:tcW w:w="2500" w:type="dxa"/>
            <w:vAlign w:val="bottom"/>
            <w:gridSpan w:val="2"/>
          </w:tcPr>
          <w:p>
            <w:pPr>
              <w:spacing w:after="0"/>
              <w:rPr>
                <w:sz w:val="20"/>
                <w:szCs w:val="20"/>
                <w:color w:val="auto"/>
              </w:rPr>
            </w:pPr>
            <w:r>
              <w:rPr>
                <w:rFonts w:ascii="Arial" w:cs="Arial" w:eastAsia="Arial" w:hAnsi="Arial"/>
                <w:sz w:val="18"/>
                <w:szCs w:val="18"/>
                <w:color w:val="auto"/>
              </w:rPr>
              <w:t>February 18, 2021</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Q1 2021</w:t>
            </w:r>
          </w:p>
        </w:tc>
        <w:tc>
          <w:tcPr>
            <w:tcW w:w="6500" w:type="dxa"/>
            <w:vAlign w:val="bottom"/>
            <w:gridSpan w:val="2"/>
          </w:tcPr>
          <w:p>
            <w:pPr>
              <w:ind w:left="220"/>
              <w:spacing w:after="0"/>
              <w:rPr>
                <w:sz w:val="20"/>
                <w:szCs w:val="20"/>
                <w:color w:val="auto"/>
              </w:rPr>
            </w:pPr>
            <w:r>
              <w:rPr>
                <w:rFonts w:ascii="Arial" w:cs="Arial" w:eastAsia="Arial" w:hAnsi="Arial"/>
                <w:sz w:val="18"/>
                <w:szCs w:val="18"/>
                <w:color w:val="auto"/>
                <w:w w:val="94"/>
              </w:rPr>
              <w:t>Acquired: 1,500 MicroBT’s WhatsMiner M31S machines, adding approximately 120</w:t>
            </w:r>
          </w:p>
        </w:tc>
      </w:tr>
      <w:tr>
        <w:trPr>
          <w:trHeight w:val="230"/>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500" w:type="dxa"/>
            <w:vAlign w:val="bottom"/>
            <w:gridSpan w:val="2"/>
          </w:tcPr>
          <w:p>
            <w:pPr>
              <w:ind w:left="220"/>
              <w:spacing w:after="0"/>
              <w:rPr>
                <w:sz w:val="20"/>
                <w:szCs w:val="20"/>
                <w:color w:val="auto"/>
              </w:rPr>
            </w:pPr>
            <w:r>
              <w:rPr>
                <w:rFonts w:ascii="Arial" w:cs="Arial" w:eastAsia="Arial" w:hAnsi="Arial"/>
                <w:sz w:val="18"/>
                <w:szCs w:val="18"/>
                <w:color w:val="auto"/>
              </w:rPr>
              <w:t>PH of computer power</w:t>
            </w:r>
          </w:p>
        </w:tc>
      </w:tr>
      <w:tr>
        <w:trPr>
          <w:trHeight w:val="418"/>
        </w:trPr>
        <w:tc>
          <w:tcPr>
            <w:tcW w:w="2500" w:type="dxa"/>
            <w:vAlign w:val="bottom"/>
            <w:gridSpan w:val="2"/>
          </w:tcPr>
          <w:p>
            <w:pPr>
              <w:spacing w:after="0"/>
              <w:rPr>
                <w:sz w:val="20"/>
                <w:szCs w:val="20"/>
                <w:color w:val="auto"/>
              </w:rPr>
            </w:pPr>
            <w:r>
              <w:rPr>
                <w:rFonts w:ascii="Arial" w:cs="Arial" w:eastAsia="Arial" w:hAnsi="Arial"/>
                <w:sz w:val="18"/>
                <w:szCs w:val="18"/>
                <w:color w:val="auto"/>
              </w:rPr>
              <w:t>March 2, 2021</w:t>
            </w: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January 2022 – December</w:t>
            </w:r>
          </w:p>
        </w:tc>
        <w:tc>
          <w:tcPr>
            <w:tcW w:w="6500" w:type="dxa"/>
            <w:vAlign w:val="bottom"/>
            <w:gridSpan w:val="2"/>
          </w:tcPr>
          <w:p>
            <w:pPr>
              <w:ind w:left="220"/>
              <w:spacing w:after="0"/>
              <w:rPr>
                <w:sz w:val="20"/>
                <w:szCs w:val="20"/>
                <w:color w:val="auto"/>
              </w:rPr>
            </w:pPr>
            <w:r>
              <w:rPr>
                <w:rFonts w:ascii="Arial" w:cs="Arial" w:eastAsia="Arial" w:hAnsi="Arial"/>
                <w:sz w:val="18"/>
                <w:szCs w:val="18"/>
                <w:color w:val="auto"/>
                <w:w w:val="95"/>
              </w:rPr>
              <w:t>Entered into agreements to acquire 48,000 MicroBT’s WhatsMiner machines: once</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2022 (estimated)</w:t>
            </w:r>
          </w:p>
        </w:tc>
        <w:tc>
          <w:tcPr>
            <w:tcW w:w="6500" w:type="dxa"/>
            <w:vAlign w:val="bottom"/>
            <w:gridSpan w:val="2"/>
          </w:tcPr>
          <w:p>
            <w:pPr>
              <w:ind w:left="220"/>
              <w:spacing w:after="0"/>
              <w:rPr>
                <w:sz w:val="20"/>
                <w:szCs w:val="20"/>
                <w:color w:val="auto"/>
              </w:rPr>
            </w:pPr>
            <w:r>
              <w:rPr>
                <w:rFonts w:ascii="Arial" w:cs="Arial" w:eastAsia="Arial" w:hAnsi="Arial"/>
                <w:sz w:val="18"/>
                <w:szCs w:val="18"/>
                <w:color w:val="auto"/>
                <w:w w:val="95"/>
              </w:rPr>
              <w:t>deployed, it is expected that these units will add approximately 5.0 EH of computer</w:t>
            </w:r>
          </w:p>
        </w:tc>
      </w:tr>
      <w:tr>
        <w:trPr>
          <w:trHeight w:val="230"/>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500" w:type="dxa"/>
            <w:vAlign w:val="bottom"/>
            <w:gridSpan w:val="2"/>
          </w:tcPr>
          <w:p>
            <w:pPr>
              <w:ind w:left="220"/>
              <w:spacing w:after="0"/>
              <w:rPr>
                <w:sz w:val="20"/>
                <w:szCs w:val="20"/>
                <w:color w:val="auto"/>
              </w:rPr>
            </w:pPr>
            <w:r>
              <w:rPr>
                <w:rFonts w:ascii="Arial" w:cs="Arial" w:eastAsia="Arial" w:hAnsi="Arial"/>
                <w:sz w:val="18"/>
                <w:szCs w:val="18"/>
                <w:color w:val="auto"/>
              </w:rPr>
              <w:t>power</w:t>
            </w:r>
          </w:p>
        </w:tc>
      </w:tr>
      <w:tr>
        <w:trPr>
          <w:trHeight w:val="418"/>
        </w:trPr>
        <w:tc>
          <w:tcPr>
            <w:tcW w:w="2500" w:type="dxa"/>
            <w:vAlign w:val="bottom"/>
            <w:gridSpan w:val="2"/>
          </w:tcPr>
          <w:p>
            <w:pPr>
              <w:spacing w:after="0"/>
              <w:rPr>
                <w:sz w:val="20"/>
                <w:szCs w:val="20"/>
                <w:color w:val="auto"/>
              </w:rPr>
            </w:pPr>
            <w:r>
              <w:rPr>
                <w:rFonts w:ascii="Arial" w:cs="Arial" w:eastAsia="Arial" w:hAnsi="Arial"/>
                <w:sz w:val="18"/>
                <w:szCs w:val="18"/>
                <w:color w:val="auto"/>
              </w:rPr>
              <w:t>March 24, 2021</w:t>
            </w: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Q2 – Q3 2021</w:t>
            </w:r>
          </w:p>
        </w:tc>
        <w:tc>
          <w:tcPr>
            <w:tcW w:w="6500" w:type="dxa"/>
            <w:vAlign w:val="bottom"/>
            <w:gridSpan w:val="2"/>
          </w:tcPr>
          <w:p>
            <w:pPr>
              <w:ind w:left="220"/>
              <w:spacing w:after="0"/>
              <w:rPr>
                <w:sz w:val="20"/>
                <w:szCs w:val="20"/>
                <w:color w:val="auto"/>
              </w:rPr>
            </w:pPr>
            <w:r>
              <w:rPr>
                <w:rFonts w:ascii="Arial" w:cs="Arial" w:eastAsia="Arial" w:hAnsi="Arial"/>
                <w:sz w:val="18"/>
                <w:szCs w:val="18"/>
                <w:color w:val="auto"/>
                <w:w w:val="93"/>
              </w:rPr>
              <w:t>Acquired: 1,500 MicroBT M31S+ and 700 Bitmain S19j machines, adding 183 PH of</w:t>
            </w:r>
          </w:p>
        </w:tc>
      </w:tr>
      <w:tr>
        <w:trPr>
          <w:trHeight w:val="230"/>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500" w:type="dxa"/>
            <w:vAlign w:val="bottom"/>
            <w:gridSpan w:val="2"/>
          </w:tcPr>
          <w:p>
            <w:pPr>
              <w:ind w:left="220"/>
              <w:spacing w:after="0"/>
              <w:rPr>
                <w:sz w:val="20"/>
                <w:szCs w:val="20"/>
                <w:color w:val="auto"/>
              </w:rPr>
            </w:pPr>
            <w:r>
              <w:rPr>
                <w:rFonts w:ascii="Arial" w:cs="Arial" w:eastAsia="Arial" w:hAnsi="Arial"/>
                <w:sz w:val="18"/>
                <w:szCs w:val="18"/>
                <w:color w:val="auto"/>
              </w:rPr>
              <w:t>computer power</w:t>
            </w:r>
          </w:p>
        </w:tc>
      </w:tr>
      <w:tr>
        <w:trPr>
          <w:trHeight w:val="418"/>
        </w:trPr>
        <w:tc>
          <w:tcPr>
            <w:tcW w:w="2500" w:type="dxa"/>
            <w:vAlign w:val="bottom"/>
            <w:gridSpan w:val="2"/>
          </w:tcPr>
          <w:p>
            <w:pPr>
              <w:spacing w:after="0"/>
              <w:rPr>
                <w:sz w:val="20"/>
                <w:szCs w:val="20"/>
                <w:color w:val="auto"/>
              </w:rPr>
            </w:pPr>
            <w:r>
              <w:rPr>
                <w:rFonts w:ascii="Arial" w:cs="Arial" w:eastAsia="Arial" w:hAnsi="Arial"/>
                <w:sz w:val="18"/>
                <w:szCs w:val="18"/>
                <w:color w:val="auto"/>
              </w:rPr>
              <w:t>April 23, 2021</w:t>
            </w: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Q2 – Q4 2021</w:t>
            </w:r>
          </w:p>
        </w:tc>
        <w:tc>
          <w:tcPr>
            <w:tcW w:w="6500" w:type="dxa"/>
            <w:vAlign w:val="bottom"/>
            <w:gridSpan w:val="2"/>
          </w:tcPr>
          <w:p>
            <w:pPr>
              <w:ind w:left="220"/>
              <w:spacing w:after="0"/>
              <w:rPr>
                <w:sz w:val="20"/>
                <w:szCs w:val="20"/>
                <w:color w:val="auto"/>
              </w:rPr>
            </w:pPr>
            <w:r>
              <w:rPr>
                <w:rFonts w:ascii="Arial" w:cs="Arial" w:eastAsia="Arial" w:hAnsi="Arial"/>
                <w:sz w:val="18"/>
                <w:szCs w:val="18"/>
                <w:color w:val="auto"/>
                <w:w w:val="99"/>
              </w:rPr>
              <w:t>Acquired: 2,465 WhatsMiner M30S Bitcoin mining machines, adding 133 PH of</w:t>
            </w:r>
          </w:p>
        </w:tc>
      </w:tr>
      <w:tr>
        <w:trPr>
          <w:trHeight w:val="230"/>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500" w:type="dxa"/>
            <w:vAlign w:val="bottom"/>
            <w:gridSpan w:val="2"/>
          </w:tcPr>
          <w:p>
            <w:pPr>
              <w:ind w:left="220"/>
              <w:spacing w:after="0"/>
              <w:rPr>
                <w:sz w:val="20"/>
                <w:szCs w:val="20"/>
                <w:color w:val="auto"/>
              </w:rPr>
            </w:pPr>
            <w:r>
              <w:rPr>
                <w:rFonts w:ascii="Arial" w:cs="Arial" w:eastAsia="Arial" w:hAnsi="Arial"/>
                <w:sz w:val="18"/>
                <w:szCs w:val="18"/>
                <w:color w:val="auto"/>
              </w:rPr>
              <w:t>production</w:t>
            </w:r>
          </w:p>
        </w:tc>
      </w:tr>
      <w:tr>
        <w:trPr>
          <w:trHeight w:val="418"/>
        </w:trPr>
        <w:tc>
          <w:tcPr>
            <w:tcW w:w="2500" w:type="dxa"/>
            <w:vAlign w:val="bottom"/>
            <w:gridSpan w:val="2"/>
          </w:tcPr>
          <w:p>
            <w:pPr>
              <w:spacing w:after="0"/>
              <w:rPr>
                <w:sz w:val="20"/>
                <w:szCs w:val="20"/>
                <w:color w:val="auto"/>
              </w:rPr>
            </w:pPr>
            <w:r>
              <w:rPr>
                <w:rFonts w:ascii="Arial" w:cs="Arial" w:eastAsia="Arial" w:hAnsi="Arial"/>
                <w:sz w:val="18"/>
                <w:szCs w:val="18"/>
                <w:color w:val="auto"/>
              </w:rPr>
              <w:t>April 26, 2021</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Q2-Q3 2021</w:t>
            </w:r>
          </w:p>
        </w:tc>
        <w:tc>
          <w:tcPr>
            <w:tcW w:w="6500" w:type="dxa"/>
            <w:vAlign w:val="bottom"/>
            <w:gridSpan w:val="2"/>
          </w:tcPr>
          <w:p>
            <w:pPr>
              <w:ind w:left="220"/>
              <w:spacing w:after="0"/>
              <w:rPr>
                <w:sz w:val="20"/>
                <w:szCs w:val="20"/>
                <w:color w:val="auto"/>
              </w:rPr>
            </w:pPr>
            <w:r>
              <w:rPr>
                <w:rFonts w:ascii="Arial" w:cs="Arial" w:eastAsia="Arial" w:hAnsi="Arial"/>
                <w:sz w:val="18"/>
                <w:szCs w:val="18"/>
                <w:color w:val="auto"/>
                <w:w w:val="94"/>
              </w:rPr>
              <w:t>Acquired: 1,996 MicroBT’s WhatsMiner M31S machines, adding approximately 120</w:t>
            </w:r>
          </w:p>
        </w:tc>
      </w:tr>
      <w:tr>
        <w:trPr>
          <w:trHeight w:val="230"/>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500" w:type="dxa"/>
            <w:vAlign w:val="bottom"/>
            <w:gridSpan w:val="2"/>
          </w:tcPr>
          <w:p>
            <w:pPr>
              <w:ind w:left="220"/>
              <w:spacing w:after="0"/>
              <w:rPr>
                <w:sz w:val="20"/>
                <w:szCs w:val="20"/>
                <w:color w:val="auto"/>
              </w:rPr>
            </w:pPr>
            <w:r>
              <w:rPr>
                <w:rFonts w:ascii="Arial" w:cs="Arial" w:eastAsia="Arial" w:hAnsi="Arial"/>
                <w:sz w:val="18"/>
                <w:szCs w:val="18"/>
                <w:color w:val="auto"/>
              </w:rPr>
              <w:t>PH of computer power</w:t>
            </w:r>
          </w:p>
        </w:tc>
      </w:tr>
      <w:tr>
        <w:trPr>
          <w:trHeight w:val="432"/>
        </w:trPr>
        <w:tc>
          <w:tcPr>
            <w:tcW w:w="2500" w:type="dxa"/>
            <w:vAlign w:val="bottom"/>
            <w:gridSpan w:val="2"/>
          </w:tcPr>
          <w:p>
            <w:pPr>
              <w:spacing w:after="0"/>
              <w:rPr>
                <w:sz w:val="20"/>
                <w:szCs w:val="20"/>
                <w:color w:val="auto"/>
              </w:rPr>
            </w:pPr>
            <w:r>
              <w:rPr>
                <w:rFonts w:ascii="Arial" w:cs="Arial" w:eastAsia="Arial" w:hAnsi="Arial"/>
                <w:sz w:val="18"/>
                <w:szCs w:val="18"/>
                <w:color w:val="auto"/>
              </w:rPr>
              <w:t>May 6, 2021</w:t>
            </w: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Q3 – Q4 2021</w:t>
            </w:r>
          </w:p>
        </w:tc>
        <w:tc>
          <w:tcPr>
            <w:tcW w:w="6500" w:type="dxa"/>
            <w:vAlign w:val="bottom"/>
            <w:gridSpan w:val="2"/>
          </w:tcPr>
          <w:p>
            <w:pPr>
              <w:ind w:left="220"/>
              <w:spacing w:after="0"/>
              <w:rPr>
                <w:sz w:val="20"/>
                <w:szCs w:val="20"/>
                <w:color w:val="auto"/>
              </w:rPr>
            </w:pPr>
            <w:r>
              <w:rPr>
                <w:rFonts w:ascii="Arial" w:cs="Arial" w:eastAsia="Arial" w:hAnsi="Arial"/>
                <w:sz w:val="18"/>
                <w:szCs w:val="18"/>
                <w:color w:val="auto"/>
              </w:rPr>
              <w:t>Acquired: 6,600 Bitmain S19j Pro Antminer machines</w:t>
            </w: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March 2, 2021, the Company entered into a hosting agreement in the United States (the “</w:t>
      </w:r>
      <w:r>
        <w:rPr>
          <w:rFonts w:ascii="Arial" w:cs="Arial" w:eastAsia="Arial" w:hAnsi="Arial"/>
          <w:sz w:val="18"/>
          <w:szCs w:val="18"/>
          <w:b w:val="1"/>
          <w:bCs w:val="1"/>
          <w:color w:val="auto"/>
        </w:rPr>
        <w:t>Hosting Agreement</w:t>
      </w:r>
      <w:r>
        <w:rPr>
          <w:rFonts w:ascii="Arial" w:cs="Arial" w:eastAsia="Arial" w:hAnsi="Arial"/>
          <w:sz w:val="18"/>
          <w:szCs w:val="18"/>
          <w:color w:val="auto"/>
        </w:rPr>
        <w:t>”). Pursuant to the Hosting Agreement, the Company delivered older generation equipment already owned and used by the Company, for hosting at one of the host’s facilities located in the United States in order to free up capacity at the Current Facilities for more efficient and profitable mining equipment. The Hosting Agreement was replaced by the July 2021 Hosting Agreements.</w:t>
      </w: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color w:val="auto"/>
        </w:rPr>
        <w:t>13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spacing w:after="0" w:line="230" w:lineRule="auto"/>
        <w:rPr>
          <w:sz w:val="20"/>
          <w:szCs w:val="20"/>
          <w:color w:val="auto"/>
        </w:rPr>
      </w:pPr>
      <w:r>
        <w:rPr>
          <w:rFonts w:ascii="Arial" w:cs="Arial" w:eastAsia="Arial" w:hAnsi="Arial"/>
          <w:sz w:val="18"/>
          <w:szCs w:val="18"/>
          <w:color w:val="auto"/>
        </w:rPr>
        <w:t>On March 12</w:t>
      </w:r>
      <w:r>
        <w:rPr>
          <w:rFonts w:ascii="Arial" w:cs="Arial" w:eastAsia="Arial" w:hAnsi="Arial"/>
          <w:sz w:val="29"/>
          <w:szCs w:val="29"/>
          <w:color w:val="auto"/>
          <w:vertAlign w:val="superscript"/>
        </w:rPr>
        <w:t>th</w:t>
      </w:r>
      <w:r>
        <w:rPr>
          <w:rFonts w:ascii="Arial" w:cs="Arial" w:eastAsia="Arial" w:hAnsi="Arial"/>
          <w:sz w:val="18"/>
          <w:szCs w:val="18"/>
          <w:color w:val="auto"/>
        </w:rPr>
        <w:t>, the Company entered into an agreement to retain the services of CORE IR, an investor relations, public relations and shareholder communications firm (the “</w:t>
      </w:r>
      <w:r>
        <w:rPr>
          <w:rFonts w:ascii="Arial" w:cs="Arial" w:eastAsia="Arial" w:hAnsi="Arial"/>
          <w:sz w:val="18"/>
          <w:szCs w:val="18"/>
          <w:b w:val="1"/>
          <w:bCs w:val="1"/>
          <w:color w:val="auto"/>
        </w:rPr>
        <w:t>CORE IR Agreement</w:t>
      </w:r>
      <w:r>
        <w:rPr>
          <w:rFonts w:ascii="Arial" w:cs="Arial" w:eastAsia="Arial" w:hAnsi="Arial"/>
          <w:sz w:val="18"/>
          <w:szCs w:val="18"/>
          <w:color w:val="auto"/>
        </w:rPr>
        <w:t>”). Under the Core IR Agreement, the Company agreed to pay US$15,000 per month for an initial term of twelve months, and made a one time grant to CORE IR of 15,000 incentive stock options exercisable at a price of CAD$6.35 per share for a period of two years.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7, 2021 the Company entered into an agreement with the City of Sherbrooke to develop 96 MW of hydropower on an expedited and co-operative basis (the “</w:t>
      </w:r>
      <w:r>
        <w:rPr>
          <w:rFonts w:ascii="Arial" w:cs="Arial" w:eastAsia="Arial" w:hAnsi="Arial"/>
          <w:sz w:val="18"/>
          <w:szCs w:val="18"/>
          <w:b w:val="1"/>
          <w:bCs w:val="1"/>
          <w:color w:val="auto"/>
        </w:rPr>
        <w:t>September Sherbrooke Agreement</w:t>
      </w:r>
      <w:r>
        <w:rPr>
          <w:rFonts w:ascii="Arial" w:cs="Arial" w:eastAsia="Arial" w:hAnsi="Arial"/>
          <w:sz w:val="18"/>
          <w:szCs w:val="18"/>
          <w:color w:val="auto"/>
        </w:rPr>
        <w:t xml:space="preserve">”). Under the September Sherbrooke Agreement, the Company’s current operations in Sherbrooke on Rue de la Pointe will be replaced by new, higher efficiency facilities with next-generation mining equipment optimized for higher output levels and lower power consumptions. The new facilities will enhance the Company’s social responsibility in the municipality by featuring Company-developed and proprietary next generation sound reduction hardware and communication interfaces with local residents. On October 27, 2021, the Company announced the construction of two new high power production facilities in Sherbrooke with a combined capacity of 78 MW, expected to be completed in the second quarter of 2022. On March 11, 2022 the Company announced the purchase of a building in Sherbrooke– see </w:t>
      </w:r>
      <w:r>
        <w:rPr>
          <w:rFonts w:ascii="Arial" w:cs="Arial" w:eastAsia="Arial" w:hAnsi="Arial"/>
          <w:sz w:val="18"/>
          <w:szCs w:val="18"/>
          <w:i w:val="1"/>
          <w:iCs w:val="1"/>
          <w:color w:val="auto"/>
        </w:rPr>
        <w:t>Fiscal 2022 –</w:t>
      </w:r>
      <w:r>
        <w:rPr>
          <w:rFonts w:ascii="Arial" w:cs="Arial" w:eastAsia="Arial" w:hAnsi="Arial"/>
          <w:sz w:val="18"/>
          <w:szCs w:val="18"/>
          <w:color w:val="auto"/>
        </w:rPr>
        <w:t xml:space="preserve"> </w:t>
      </w:r>
      <w:r>
        <w:rPr>
          <w:rFonts w:ascii="Arial" w:cs="Arial" w:eastAsia="Arial" w:hAnsi="Arial"/>
          <w:sz w:val="18"/>
          <w:szCs w:val="18"/>
          <w:i w:val="1"/>
          <w:iCs w:val="1"/>
          <w:color w:val="auto"/>
        </w:rPr>
        <w:t>Sherbrooke Expansion.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4, 2021, the Company announced that it had completed the Cowansville expansion, replacing the original 4 MW facility with a newly constructed 17 MW facility. The Company also announced that it had installed 450 new Bitmain S19j Pro miners at its Cowansville, Quebec facility, in addition to other used miners, adding approximately 100 PH/s of production.</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On November 9, 2021, the Company acquired a 24 MW hydro power farm in Washington State, US (the </w:t>
      </w:r>
      <w:r>
        <w:rPr>
          <w:rFonts w:ascii="Arial" w:cs="Arial" w:eastAsia="Arial" w:hAnsi="Arial"/>
          <w:sz w:val="18"/>
          <w:szCs w:val="18"/>
          <w:b w:val="1"/>
          <w:bCs w:val="1"/>
          <w:color w:val="auto"/>
        </w:rPr>
        <w:t>“November 2021 Washington Acquisition</w:t>
      </w:r>
      <w:r>
        <w:rPr>
          <w:rFonts w:ascii="Arial" w:cs="Arial" w:eastAsia="Arial" w:hAnsi="Arial"/>
          <w:sz w:val="18"/>
          <w:szCs w:val="18"/>
          <w:color w:val="auto"/>
        </w:rPr>
        <w:t>”). The Company entered into a hosting agreement for 12 MW with the seller in July 2021 (the “</w:t>
      </w:r>
      <w:r>
        <w:rPr>
          <w:rFonts w:ascii="Arial" w:cs="Arial" w:eastAsia="Arial" w:hAnsi="Arial"/>
          <w:sz w:val="18"/>
          <w:szCs w:val="18"/>
          <w:b w:val="1"/>
          <w:bCs w:val="1"/>
          <w:color w:val="auto"/>
        </w:rPr>
        <w:t>July 2021 Hosting Agreement</w:t>
      </w:r>
      <w:r>
        <w:rPr>
          <w:rFonts w:ascii="Arial" w:cs="Arial" w:eastAsia="Arial" w:hAnsi="Arial"/>
          <w:sz w:val="18"/>
          <w:szCs w:val="18"/>
          <w:color w:val="auto"/>
        </w:rPr>
        <w:t>”), replacing its previous hosting agreements in the United States, under which 4,000 Bitmain S19j Pro miners with a capacity of 400 PH/s were installed at the facility. The July 2021 Hosting Agreement terminated upon the closing of the November 2021 Washington Acquisition.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America Expansion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19, 2021, the Company entered into a power purchase agreement a power producer in Argentina to secure 210 MW of electricity at approximately US$0.02 per kWh for the first four years, subject to adjustments and limitations as described elsewhere herein, further to the Company’s plan to pursue the development of a Bitcoin Mining facility in Argentina.</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October 7, 2021, the Company announced that it had entered into engineering, procurement and construction contracts with Proyectos y Obras Americanas S.A.(“</w:t>
      </w:r>
      <w:r>
        <w:rPr>
          <w:rFonts w:ascii="Arial" w:cs="Arial" w:eastAsia="Arial" w:hAnsi="Arial"/>
          <w:sz w:val="17"/>
          <w:szCs w:val="17"/>
          <w:b w:val="1"/>
          <w:bCs w:val="1"/>
          <w:color w:val="auto"/>
        </w:rPr>
        <w:t>PROA</w:t>
      </w:r>
      <w:r>
        <w:rPr>
          <w:rFonts w:ascii="Arial" w:cs="Arial" w:eastAsia="Arial" w:hAnsi="Arial"/>
          <w:sz w:val="17"/>
          <w:szCs w:val="17"/>
          <w:color w:val="auto"/>
        </w:rPr>
        <w:t>”) and Dreicon as the owner’s engineer to commence construction of a 210 MW production facility in Argentina.</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8, 2021, the Company announced that it had signed a 5-year lease and an annually renewable power purchase agreement to secure up to 10 MW of green hydro electrical capacity at approximately 3.6 US cents per kilowatt hour in Paraguay. As of the date of this AIF, the 10 MW facility is operational and houses approximately 3,000 of the Company’s used miners producing up to 120 PH/s.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Listing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7, 2021, the Company announced that its application to list its common stock on the Nasdaq Global Market was approved by the Nasdaq Stock Market (the "</w:t>
      </w:r>
      <w:r>
        <w:rPr>
          <w:rFonts w:ascii="Arial" w:cs="Arial" w:eastAsia="Arial" w:hAnsi="Arial"/>
          <w:sz w:val="18"/>
          <w:szCs w:val="18"/>
          <w:b w:val="1"/>
          <w:bCs w:val="1"/>
          <w:color w:val="auto"/>
        </w:rPr>
        <w:t>Nasdaq</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June 17, 2021, in connection with the Company’s listing on the Nasdaq, the Company received DTC eligibility for the Common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June 21, 2021, trading of the Common Shares on the Nasdaq commenced under the symbol “BITF”.</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14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Bitcoin Retention Program</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early January 2021, the Company implemented a Bitcoin retention program, pursuant to which the Company has added approximately 5,200 Bitcoin to its balance sheet as of the date hereof. See “</w:t>
      </w:r>
      <w:r>
        <w:rPr>
          <w:rFonts w:ascii="Arial" w:cs="Arial" w:eastAsia="Arial" w:hAnsi="Arial"/>
          <w:sz w:val="17"/>
          <w:szCs w:val="17"/>
          <w:i w:val="1"/>
          <w:iCs w:val="1"/>
          <w:color w:val="auto"/>
        </w:rPr>
        <w:t>Risk Factors – Possibility of Less Frequent or Cessation of Monetization of Cryptocurrencies</w:t>
      </w:r>
      <w:r>
        <w:rPr>
          <w:rFonts w:ascii="Arial" w:cs="Arial" w:eastAsia="Arial" w:hAnsi="Arial"/>
          <w:sz w:val="17"/>
          <w:szCs w:val="17"/>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Prospectus Filings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March 12, 2021, the Company filed a preliminary base shelf short form prospectus.</w:t>
      </w:r>
    </w:p>
    <w:p>
      <w:pPr>
        <w:spacing w:after="0" w:line="221"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color w:val="auto"/>
        </w:rPr>
        <w:t>On August 12, 2021, the Company filed a final base shelf short form prospectus (the “</w:t>
      </w:r>
      <w:r>
        <w:rPr>
          <w:rFonts w:ascii="Arial" w:cs="Arial" w:eastAsia="Arial" w:hAnsi="Arial"/>
          <w:sz w:val="17"/>
          <w:szCs w:val="17"/>
          <w:b w:val="1"/>
          <w:bCs w:val="1"/>
          <w:color w:val="auto"/>
        </w:rPr>
        <w:t>August SBSF Prospectus</w:t>
      </w:r>
      <w:r>
        <w:rPr>
          <w:rFonts w:ascii="Arial" w:cs="Arial" w:eastAsia="Arial" w:hAnsi="Arial"/>
          <w:sz w:val="17"/>
          <w:szCs w:val="17"/>
          <w:color w:val="auto"/>
        </w:rPr>
        <w:t>”) relating to the offering for sale of such number of securities of the Company as would result in aggregate gross proceeds of up to USD$500 million, over a 25-month period.</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16, 2021, the Company filed a prospectus supplement to the August SBSF Prospectus qualifying the distribution of up to US$500 million Common Shares pursuant to an at-the-market offering agreement (the “</w:t>
      </w:r>
      <w:r>
        <w:rPr>
          <w:rFonts w:ascii="Arial" w:cs="Arial" w:eastAsia="Arial" w:hAnsi="Arial"/>
          <w:sz w:val="18"/>
          <w:szCs w:val="18"/>
          <w:b w:val="1"/>
          <w:bCs w:val="1"/>
          <w:color w:val="auto"/>
        </w:rPr>
        <w:t>ATM Agreement</w:t>
      </w:r>
      <w:r>
        <w:rPr>
          <w:rFonts w:ascii="Arial" w:cs="Arial" w:eastAsia="Arial" w:hAnsi="Arial"/>
          <w:sz w:val="18"/>
          <w:szCs w:val="18"/>
          <w:color w:val="auto"/>
        </w:rPr>
        <w:t>”) dated August 16, 2021, between the Company and H.C. Wainwright &amp; Co.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and Management Changes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February 14, 2022, the Company announced the addition of three executives for newly created positions. Philippe Fortier was appointed Vice President</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Special Projects, Andrea Keen Souza was appointed Vice President – Human Resources, and Stephanie Wargo was appointed Vice President – Marketing &amp; Communications.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w:t>
      </w:r>
    </w:p>
    <w:p>
      <w:pPr>
        <w:spacing w:after="0" w:line="22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On February 24, 2022, the Company secured a US$32 million credit facility with a private lender (the “</w:t>
      </w:r>
      <w:r>
        <w:rPr>
          <w:rFonts w:ascii="Arial" w:cs="Arial" w:eastAsia="Arial" w:hAnsi="Arial"/>
          <w:sz w:val="17"/>
          <w:szCs w:val="17"/>
          <w:b w:val="1"/>
          <w:bCs w:val="1"/>
          <w:color w:val="auto"/>
        </w:rPr>
        <w:t>February 2022 Loan Facility</w:t>
      </w:r>
      <w:r>
        <w:rPr>
          <w:rFonts w:ascii="Arial" w:cs="Arial" w:eastAsia="Arial" w:hAnsi="Arial"/>
          <w:sz w:val="17"/>
          <w:szCs w:val="17"/>
          <w:color w:val="auto"/>
        </w:rPr>
        <w:t>”). The February 2022 Loan Facility has a 24 month term at an interest rate of 14.5 % per annum and is secured by approximately 6,100 Bitmain S19j Pro miners. The February 2022 Loan Facility will be used for general corporate purposes and for the Company’s global growth initiatives.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Bitcoin Purchase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10, 2022, the Company announced that it had, during the first week of January 2022, purchased 1,000 Bitcoin for USD$43.2 million, increasing the Company’s Bitcoin holdings by approximately 30%.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America Expansion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 2022 the Company announced commencement of operations at its 10 MW farm in Paraguay, increasing the total farms operated by the Company from six to seven, and total mining capacity to 116 MW.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Sherbrooke Expansion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March 17, 2022, the Company began operations in Phase one of the Bunker Property, as defined herein. See </w:t>
      </w:r>
      <w:r>
        <w:rPr>
          <w:rFonts w:ascii="Arial" w:cs="Arial" w:eastAsia="Arial" w:hAnsi="Arial"/>
          <w:sz w:val="18"/>
          <w:szCs w:val="18"/>
          <w:i w:val="1"/>
          <w:iCs w:val="1"/>
          <w:color w:val="auto"/>
        </w:rPr>
        <w:t>Development and Future Growth –</w:t>
      </w:r>
      <w:r>
        <w:rPr>
          <w:rFonts w:ascii="Arial" w:cs="Arial" w:eastAsia="Arial" w:hAnsi="Arial"/>
          <w:sz w:val="18"/>
          <w:szCs w:val="18"/>
          <w:color w:val="auto"/>
        </w:rPr>
        <w:t xml:space="preserve"> </w:t>
      </w:r>
      <w:r>
        <w:rPr>
          <w:rFonts w:ascii="Arial" w:cs="Arial" w:eastAsia="Arial" w:hAnsi="Arial"/>
          <w:sz w:val="18"/>
          <w:szCs w:val="18"/>
          <w:i w:val="1"/>
          <w:iCs w:val="1"/>
          <w:color w:val="auto"/>
        </w:rPr>
        <w:t>Sherbrooke Expansion – The Bunker</w:t>
      </w:r>
      <w:r>
        <w:rPr>
          <w:rFonts w:ascii="Arial" w:cs="Arial" w:eastAsia="Arial" w:hAnsi="Arial"/>
          <w:sz w:val="18"/>
          <w:szCs w:val="18"/>
          <w:color w:val="auto"/>
        </w:rPr>
        <w:t>.</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On March 11, 2022, the Company acquired a building in Sherbrooke Quebec expected to accommodate 18 MW of electrical infrastructure (“</w:t>
      </w:r>
      <w:r>
        <w:rPr>
          <w:rFonts w:ascii="Arial" w:cs="Arial" w:eastAsia="Arial" w:hAnsi="Arial"/>
          <w:sz w:val="18"/>
          <w:szCs w:val="18"/>
          <w:b w:val="1"/>
          <w:bCs w:val="1"/>
          <w:color w:val="auto"/>
        </w:rPr>
        <w:t>Garlock</w:t>
      </w:r>
      <w:r>
        <w:rPr>
          <w:rFonts w:ascii="Arial" w:cs="Arial" w:eastAsia="Arial" w:hAnsi="Arial"/>
          <w:sz w:val="18"/>
          <w:szCs w:val="18"/>
          <w:color w:val="auto"/>
        </w:rPr>
        <w:t xml:space="preserve"> </w:t>
      </w:r>
      <w:r>
        <w:rPr>
          <w:rFonts w:ascii="Arial" w:cs="Arial" w:eastAsia="Arial" w:hAnsi="Arial"/>
          <w:sz w:val="18"/>
          <w:szCs w:val="18"/>
          <w:b w:val="1"/>
          <w:bCs w:val="1"/>
          <w:color w:val="auto"/>
        </w:rPr>
        <w:t>Property</w:t>
      </w:r>
      <w:r>
        <w:rPr>
          <w:rFonts w:ascii="Arial" w:cs="Arial" w:eastAsia="Arial" w:hAnsi="Arial"/>
          <w:sz w:val="18"/>
          <w:szCs w:val="18"/>
          <w:color w:val="auto"/>
        </w:rPr>
        <w:t>”) as described in the Sherbrooke Expansion section of this AIF.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Computing Power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operating hashrate is approximately 2.7 EH/s as of the date of this AIF.</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15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primary business is the mining of cryptocurrency. Through its subsidiaries, the Company owns and operates server farms, comprised of computers (each herein referred to as a “</w:t>
      </w:r>
      <w:r>
        <w:rPr>
          <w:rFonts w:ascii="Arial" w:cs="Arial" w:eastAsia="Arial" w:hAnsi="Arial"/>
          <w:sz w:val="16"/>
          <w:szCs w:val="16"/>
          <w:b w:val="1"/>
          <w:bCs w:val="1"/>
          <w:color w:val="auto"/>
        </w:rPr>
        <w:t>Miner</w:t>
      </w:r>
      <w:r>
        <w:rPr>
          <w:rFonts w:ascii="Arial" w:cs="Arial" w:eastAsia="Arial" w:hAnsi="Arial"/>
          <w:sz w:val="16"/>
          <w:szCs w:val="16"/>
          <w:color w:val="auto"/>
        </w:rPr>
        <w:t>”) primarily configured for the purpose of validating transactions on cryptocurrency network blockchains, and predominately the Bitcoin network blockchain. The Company’s server farms currently only mine Bitcoin, and in the past have also mined Bitcoin Cash, Litecoin, Dash and Ethereum. Prior to January 2021, the Company routinely exchanged cryptocurrencies mined into U.S. dollars through reputable cryptocurrency trading platforms. At the beginning of Fiscal 2021, the Company implemented a Bitcoin retention program under which mined Bitcoin is held by the Company through its custodians. See “</w:t>
      </w:r>
      <w:r>
        <w:rPr>
          <w:rFonts w:ascii="Arial" w:cs="Arial" w:eastAsia="Arial" w:hAnsi="Arial"/>
          <w:sz w:val="16"/>
          <w:szCs w:val="16"/>
          <w:i w:val="1"/>
          <w:iCs w:val="1"/>
          <w:color w:val="auto"/>
        </w:rPr>
        <w:t>DESCRIPTION OF BUSINESS – Principal Market Overview – Bitcoin Retention Program</w:t>
      </w:r>
      <w:r>
        <w:rPr>
          <w:rFonts w:ascii="Arial" w:cs="Arial" w:eastAsia="Arial" w:hAnsi="Arial"/>
          <w:sz w:val="16"/>
          <w:szCs w:val="16"/>
          <w:color w:val="auto"/>
        </w:rPr>
        <w:t>”.</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is earned from the transaction fees the Company receive in return for securing and processing transactions during all hours of the day (herein referred to as, “</w:t>
      </w:r>
      <w:r>
        <w:rPr>
          <w:rFonts w:ascii="Arial" w:cs="Arial" w:eastAsia="Arial" w:hAnsi="Arial"/>
          <w:sz w:val="18"/>
          <w:szCs w:val="18"/>
          <w:b w:val="1"/>
          <w:bCs w:val="1"/>
          <w:color w:val="auto"/>
        </w:rPr>
        <w:t>Mining</w:t>
      </w:r>
      <w:r>
        <w:rPr>
          <w:rFonts w:ascii="Arial" w:cs="Arial" w:eastAsia="Arial" w:hAnsi="Arial"/>
          <w:sz w:val="18"/>
          <w:szCs w:val="18"/>
          <w:color w:val="auto"/>
        </w:rPr>
        <w:t>”), and the cryptocurrencies rewarded for validating a “block” of transactions. The Company’s Miners operate 24 hours a day and revenue is earned from Block Rewards and transaction fees issued in the form of cryptocurrencies by the Bitcoin network to a Mining Pool from which the Company receives cryptocurrencies in return for contributing its hashrate to validate transactions. See “</w:t>
      </w:r>
      <w:r>
        <w:rPr>
          <w:rFonts w:ascii="Arial" w:cs="Arial" w:eastAsia="Arial" w:hAnsi="Arial"/>
          <w:sz w:val="18"/>
          <w:szCs w:val="18"/>
          <w:i w:val="1"/>
          <w:iCs w:val="1"/>
          <w:color w:val="auto"/>
        </w:rPr>
        <w:t>DESCRIPTION OF BUSINESS – Cryptocurrency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Background”.</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the date of this AIF, Bitfarms Canada operates six server farm facilities in Québec, Canada, with electrical infrastructure capacity of 94 MW for Mining Bitcoin; one server farm facility in Washington State, United States, with operational electrical infrastructure capacity of 17 MW with expansion opportunities up to 24 MW; and one server farm facility in Villarica, Paraguay, with electrical infrastructure capacity of 10 MW. The Company has contracts securing an aggregate of 160 MW, 10 MW and 12 MW of hydro-electric green energy in Quebec, Paraguay and Washington, respectively, and up to 210 MW of natural gas energy in Argentina. In addition, Bitfarms owns proprietary software that is used to control, manage, report and secure mining operations. The software scans and reports the location, computing power and temperature of all Miners at regular intervals to allow the Company to monitor performance and maximize up-time. The software was further upgraded during 2021 to enhance its features and functionality.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Volta provides electrician services to both commercial and residential customers in Québec, while assisting Bitfarms Canada in building and maintaining its server farms in Quebec.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Cryptocurrency Background</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Bitcoin Blockchain technology was developed around 2009 by a pseudonymous person or organization known as Satoshi Nakamoto. It is often defined as a distributed ledger or database, with decentralized control. The types of databases that could be implemented using blockchain technology are broad and include, among others, databases similar to a bank ledger that record statements of accounts or transactions, or any other digital record of asset ownership, such as an identity system, land registry or even the rights and obligations defined in a contract. In the traditional centralized ledger models, a master version of such ledgers is controlled by a bank, government or a trusted third party. Disputes are resolved by checking the master version, through a manual and often redundant reconciliation process. In the decentralized blockchain model, a master ledger is not stored in one place or controlled by one entity. Every counterparty on the network receives an identical real-time copy of the ledger; the data in the ledger is tamper-proof using cryptography; new states of the ledger are agreed upon by consensus among all parties.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shared ledger is made tamper-proof using a cryptographic technique called hashing. A hashing algorithm is a mathematical transformation function with two key properties. First, it accepts any alphanumeric dataset as an input and produces a unique 256-bit code as an output. Second, the smallest change in the dataset results in a significant change in the unique code. Any tampering of the dataset can be detected by re-hashing the data and checking for a change in the unique code. Any user that runs the hash algorithm on the same strings will derive the same unique code. Consequently, the data on the distributed ledger can be run through a series of hash algorithms to create a unique code which ensures the entire ledger is immutable. Whenever a new set or block of transactions is added to the ledger, it is appended with the code from the prior state of the ledger before it is hashed. This chain links both states of the ledger by combining them into a single unique code. Tampering of any historical state of the ledger can be automatically detected by the blockchain network. The historical state of the ledger can be changed if control of more than 50% of the network is obtained; however, in the case of widely held cryptocurrencies with non-trivial valuations, it is likely economically prohibitive for any actor or group of actors acting in concert to obtain the requisite control of more than 50% of the network.</w:t>
      </w: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color w:val="auto"/>
        </w:rPr>
        <w:t>16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Mining</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process by which cryptocurrency coins or tokens are created and transactions are verified is called mining. A user or Miner operates a publicly distributed mining client, which turns the user’s computer into a “node” on the network that validates blocks. In order to add blocks to the Bitcoin blockchain, a miner must map an input data set (i.e., the blockchain, plus a block of the most recent transactions and an arbitrary number called a “nonce”) to a desired output data set of a predetermined length using the SHA256 cryptographic hash algorithm. Each unique block can only be solved and added to the blockchain by one miner. As more miners join the network and its processing power increases, the network adjusts the complexity of the block solving equation to maintain a predetermined pace of adding a new block to the blockchain approximately every ten minutes. The prevailing level of complexity in the context of cryptocurrency mining is often referred to as the “difficulty”. See “</w:t>
      </w:r>
      <w:r>
        <w:rPr>
          <w:rFonts w:ascii="Arial" w:cs="Arial" w:eastAsia="Arial" w:hAnsi="Arial"/>
          <w:sz w:val="17"/>
          <w:szCs w:val="17"/>
          <w:i w:val="1"/>
          <w:iCs w:val="1"/>
          <w:color w:val="auto"/>
        </w:rPr>
        <w:t>DESCRIPTION OF BUSINESS – Principal Market Overview – Mining</w:t>
      </w:r>
      <w:r>
        <w:rPr>
          <w:rFonts w:ascii="Arial" w:cs="Arial" w:eastAsia="Arial" w:hAnsi="Arial"/>
          <w:sz w:val="17"/>
          <w:szCs w:val="17"/>
          <w:color w:val="auto"/>
        </w:rPr>
        <w:t xml:space="preserve"> </w:t>
      </w:r>
      <w:r>
        <w:rPr>
          <w:rFonts w:ascii="Arial" w:cs="Arial" w:eastAsia="Arial" w:hAnsi="Arial"/>
          <w:sz w:val="17"/>
          <w:szCs w:val="17"/>
          <w:i w:val="1"/>
          <w:iCs w:val="1"/>
          <w:color w:val="auto"/>
        </w:rPr>
        <w:t>Pools</w:t>
      </w:r>
      <w:r>
        <w:rPr>
          <w:rFonts w:ascii="Arial" w:cs="Arial" w:eastAsia="Arial" w:hAnsi="Arial"/>
          <w:sz w:val="17"/>
          <w:szCs w:val="17"/>
          <w:color w:val="auto"/>
        </w:rPr>
        <w:t>” and “</w:t>
      </w:r>
      <w:r>
        <w:rPr>
          <w:rFonts w:ascii="Arial" w:cs="Arial" w:eastAsia="Arial" w:hAnsi="Arial"/>
          <w:sz w:val="17"/>
          <w:szCs w:val="17"/>
          <w:i w:val="1"/>
          <w:iCs w:val="1"/>
          <w:color w:val="auto"/>
        </w:rPr>
        <w:t>Risk Factors – Cryptocurrency Network Difficulty and Impact of Increased Global Computing Power</w:t>
      </w:r>
      <w:r>
        <w:rPr>
          <w:rFonts w:ascii="Arial" w:cs="Arial" w:eastAsia="Arial" w:hAnsi="Arial"/>
          <w:sz w:val="17"/>
          <w:szCs w:val="17"/>
          <w:color w:val="auto"/>
        </w:rPr>
        <w: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Miner’s proposed block is added to the blockchain once a majority of the nodes on the network confirms the miner’s work which is targeted to occur every ten minutes. Miners that are successful in adding a block to the blockchain are automatically awarded coins or tokens for their effort plus any transaction fees paid by transferors whose transactions are recorded in the block. This reward system is the method by which new coins enter into circulation to the public.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Market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Strategy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strategy consists of constructing server farms using a geographically diversified portfolio of low-cost energy sources. In support of the strategy, the Company has sourced electrical power from Hydro-Québec, Hydro-Sherbrooke, Hydro-Magog and predominantly hydro electric power grid operators in Washington state and Paraguay. Power from these sources is derived from hydro-electricity as opposed to, for instance, coal-fired or gas-fired plants. Hydro-electric power is generated through exploitation of the natural water cycle, which is renewable, sustainable, and abundant owing to the natural geography of the Province of Québec, Washington state and Paraguay. The Company has also entered into an agreement with a private energy producer to secure exclusive use of up to 210 MW of natural gas-powered electricity in South America. As a result of these efforts, the management of the Company has developed a business model utilizing low-cost power capacity and a supply of computer hardware from leading manufacturers.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server farms are operated by a proprietary software suite owned by Backbone and comprised of three operating programs that control, manage, report and secure the operation. One program in the suite of software scans and reports the status of the Company’s Miners every 10 seconds. A second program in the suite displays the report from the first program in readable and digestible format that assists operators in identifying machines at issue. The third program is a cooling management system which autonomously controls exhaust fans to maintain the optimal temperature for the machines at the locations in which they are operated based on prevailing ambient conditions. The software is configured to notify operators of profitability conditions, enabling operators to manually optimize margins under different economic conditions through optimizing the hashing performance and energy consumption of the Miners. See “</w:t>
      </w:r>
      <w:r>
        <w:rPr>
          <w:rFonts w:ascii="Arial" w:cs="Arial" w:eastAsia="Arial" w:hAnsi="Arial"/>
          <w:sz w:val="17"/>
          <w:szCs w:val="17"/>
          <w:i w:val="1"/>
          <w:iCs w:val="1"/>
          <w:color w:val="auto"/>
        </w:rPr>
        <w:t>DESCRIPTION OF BUSINESS – Hardware and Software</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Mining Pools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Miners may organize themselves in “mining pools”. A mining pool is created when cryptocurrency miners aggregate their processing power over a network and mine transactions together. Whereas distributed mining power spread across the Internet results in only a miniscule probability of solving the mathematical problem for any single computer, by pooling mining resources, groups of Miners can increase the likelihood that the group solves the problem as a collective. Rewards are then distributed proportionately to each miner based on the work or the hash power contributed. By extension, the greater the computing power a server farm has, the more likely it is to, as a collective, be the first to validate a block (i.e., solve the mathematical problem) and earn cryptographic currencies. Consequently, there is a direct relationship between the computing power of a farm and the number of cryptographic coins it receives. Due to the Company’s size and scale, it currently participates in a Mining pool at no additional cost.</w:t>
      </w: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color w:val="auto"/>
        </w:rPr>
        <w:t>17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spacing w:after="0" w:line="269" w:lineRule="auto"/>
        <w:rPr>
          <w:sz w:val="20"/>
          <w:szCs w:val="20"/>
          <w:color w:val="auto"/>
        </w:rPr>
      </w:pPr>
      <w:r>
        <w:rPr>
          <w:rFonts w:ascii="Arial" w:cs="Arial" w:eastAsia="Arial" w:hAnsi="Arial"/>
          <w:sz w:val="17"/>
          <w:szCs w:val="17"/>
          <w:color w:val="auto"/>
        </w:rPr>
        <w:t>By design of the cryptocurrency source code, the difficulty of solving a block is determined automatically as a function of the number of blocks (and in the case of Bitcoin, 2016 blocks in each 14-day period) and the calculation power available in the current network in order to maintain a fixed interval (and in the case of Bitcoin, 10 minutes) on average to "solve" a block on the blockchain network of that particular cryptocurrency. The higher the computational power available (defined by the number of Miners and their individual computational power), the greater the difficulty in solving a block (and, accordingly, the more computing power will be required). After successfully validating a block, the transaction is recorded in a public ledger known as a blockchain (or chain of transactions/blocks). Upon a successfully solved block, the entire process is repeated with the next block in the queue being linked (by a stack) to its predecessor. The place of the blocks is fixed and remains on the public ledger permanently. Based on the current epoch, each block reward earns 6.25 Bitcoin plus the related transaction fees. An epoch lasts until 210,000 new blocks are found, which is expected to take approximately four years at which time the Block Reward is decreased by 50% relative to the Block Reward in the previous epoch. Block Rewards are expected to continue through the year 2140, at which time all 21,000,000 Bitcoin will have been rewarded. It is expected that miners would continue to earn transaction fees once the last new Bitcoin has been mined.</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that collaborating Mining effort permits Miners to share risks and rewards of Mining, most cryptocurrency Miners join pools. As of the date of this AIF, the five largest pools in the world are: Foundry USA, AntPool (operated by Bitmain Technologies Inc.), F2Pool, Binance Pool and Poolin. Foundry USA is known as the largest pool, accounting for an estimated 20% of the total hash power computing power of Bitcoin.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presently participates in Foundry USA Pool and allocates its full mining capacity to this pool.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Bitcoin Retention Program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Bitcoin retention program commenced in early January 2021 following the implementation of internal controls, counter-party risk assessments and custody arrangement reviews. Rather than selling Bitcoin as it is mined at then-prevailing market rates, the Company retains the Bitcoin through its custodial arrangements.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Retaining Bitcoin allows the Company flexibility in deciding when or whether to sell the assets based on prevailing market conditions. With the decrease in Bitcoin prices during in late 2021 and early 2022, coupled with the high price of mining hardware, the Company has recently converted a portion of its cash position into Bitcoin with a purchase of 1,000 Bitcoin during the first week of 2022.</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Bitfarms has implemented internal controls and custody arrangements to minimize the risk of loss or theft of the retained Bitcoin. The Company retains Coinbase Trust Company LLC as its third-party custodian. Coinbase Trust Company LLC is a US-based fiduciary and qualified custodian under New York Banking Law, and is licensed by the State of New York to custody digital assets. See “</w:t>
      </w:r>
      <w:r>
        <w:rPr>
          <w:rFonts w:ascii="Arial" w:cs="Arial" w:eastAsia="Arial" w:hAnsi="Arial"/>
          <w:sz w:val="16"/>
          <w:szCs w:val="16"/>
          <w:i w:val="1"/>
          <w:iCs w:val="1"/>
          <w:color w:val="auto"/>
        </w:rPr>
        <w:t>Description of Business – Custody of Crypto Assets</w:t>
      </w:r>
      <w:r>
        <w:rPr>
          <w:rFonts w:ascii="Arial" w:cs="Arial" w:eastAsia="Arial" w:hAnsi="Arial"/>
          <w:sz w:val="16"/>
          <w:szCs w:val="16"/>
          <w:color w:val="auto"/>
        </w:rPr>
        <w:t>”.</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color w:val="auto"/>
        </w:rPr>
        <w:t>18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Current Mining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out summary information regarding the eight operational farming facilities operated by the Company as at the date of this AIF.</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9"/>
              </w:rPr>
              <w:t>Facility Size</w:t>
            </w: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Power</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40" w:type="dxa"/>
            <w:vAlign w:val="bottom"/>
            <w:gridSpan w:val="2"/>
          </w:tcPr>
          <w:p>
            <w:pPr>
              <w:jc w:val="center"/>
              <w:ind w:right="320"/>
              <w:spacing w:after="0" w:line="181" w:lineRule="exact"/>
              <w:rPr>
                <w:sz w:val="20"/>
                <w:szCs w:val="20"/>
                <w:color w:val="auto"/>
              </w:rPr>
            </w:pPr>
            <w:r>
              <w:rPr>
                <w:rFonts w:ascii="Arial" w:cs="Arial" w:eastAsia="Arial" w:hAnsi="Arial"/>
                <w:sz w:val="18"/>
                <w:szCs w:val="18"/>
                <w:b w:val="1"/>
                <w:bCs w:val="1"/>
                <w:color w:val="auto"/>
                <w:w w:val="90"/>
              </w:rPr>
              <w:t>Capacity</w:t>
            </w:r>
          </w:p>
        </w:tc>
        <w:tc>
          <w:tcPr>
            <w:tcW w:w="1320" w:type="dxa"/>
            <w:vAlign w:val="bottom"/>
            <w:gridSpan w:val="2"/>
          </w:tcPr>
          <w:p>
            <w:pPr>
              <w:ind w:left="80"/>
              <w:spacing w:after="0" w:line="181" w:lineRule="exact"/>
              <w:rPr>
                <w:sz w:val="20"/>
                <w:szCs w:val="20"/>
                <w:color w:val="auto"/>
              </w:rPr>
            </w:pPr>
            <w:r>
              <w:rPr>
                <w:rFonts w:ascii="Arial" w:cs="Arial" w:eastAsia="Arial" w:hAnsi="Arial"/>
                <w:sz w:val="18"/>
                <w:szCs w:val="18"/>
                <w:b w:val="1"/>
                <w:bCs w:val="1"/>
                <w:color w:val="auto"/>
              </w:rPr>
              <w:t>Hash-power</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1280" w:type="dxa"/>
            <w:vAlign w:val="bottom"/>
            <w:gridSpan w:val="2"/>
          </w:tcPr>
          <w:p>
            <w:pPr>
              <w:jc w:val="center"/>
              <w:ind w:right="200"/>
              <w:spacing w:after="0" w:line="270" w:lineRule="exact"/>
              <w:rPr>
                <w:sz w:val="20"/>
                <w:szCs w:val="20"/>
                <w:color w:val="auto"/>
              </w:rPr>
            </w:pPr>
            <w:r>
              <w:rPr>
                <w:rFonts w:ascii="Arial" w:cs="Arial" w:eastAsia="Arial" w:hAnsi="Arial"/>
                <w:sz w:val="18"/>
                <w:szCs w:val="18"/>
                <w:b w:val="1"/>
                <w:bCs w:val="1"/>
                <w:color w:val="auto"/>
                <w:w w:val="92"/>
              </w:rPr>
              <w:t>(ft</w:t>
            </w:r>
            <w:r>
              <w:rPr>
                <w:rFonts w:ascii="Arial" w:cs="Arial" w:eastAsia="Arial" w:hAnsi="Arial"/>
                <w:sz w:val="29"/>
                <w:szCs w:val="29"/>
                <w:b w:val="1"/>
                <w:bCs w:val="1"/>
                <w:color w:val="auto"/>
                <w:w w:val="92"/>
                <w:vertAlign w:val="superscript"/>
              </w:rPr>
              <w:t>2</w:t>
            </w:r>
            <w:r>
              <w:rPr>
                <w:rFonts w:ascii="Arial" w:cs="Arial" w:eastAsia="Arial" w:hAnsi="Arial"/>
                <w:sz w:val="18"/>
                <w:szCs w:val="18"/>
                <w:b w:val="1"/>
                <w:bCs w:val="1"/>
                <w:color w:val="auto"/>
                <w:w w:val="92"/>
              </w:rPr>
              <w:t>)</w:t>
            </w: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(Megawatts)</w:t>
            </w: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per second</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Property Information</w:t>
            </w:r>
          </w:p>
        </w:tc>
        <w:tc>
          <w:tcPr>
            <w:tcW w:w="1220" w:type="dxa"/>
            <w:vAlign w:val="bottom"/>
          </w:tcPr>
          <w:p>
            <w:pPr>
              <w:ind w:left="40"/>
              <w:spacing w:after="0"/>
              <w:rPr>
                <w:sz w:val="20"/>
                <w:szCs w:val="20"/>
                <w:color w:val="auto"/>
              </w:rPr>
            </w:pPr>
            <w:r>
              <w:rPr>
                <w:rFonts w:ascii="Arial" w:cs="Arial" w:eastAsia="Arial" w:hAnsi="Arial"/>
                <w:sz w:val="18"/>
                <w:szCs w:val="18"/>
                <w:b w:val="1"/>
                <w:bCs w:val="1"/>
                <w:color w:val="auto"/>
                <w:w w:val="91"/>
              </w:rPr>
              <w:t>Energy Source</w:t>
            </w:r>
          </w:p>
        </w:tc>
        <w:tc>
          <w:tcPr>
            <w:tcW w:w="0" w:type="dxa"/>
            <w:vAlign w:val="bottom"/>
          </w:tcPr>
          <w:p>
            <w:pPr>
              <w:spacing w:after="0"/>
              <w:rPr>
                <w:sz w:val="1"/>
                <w:szCs w:val="1"/>
                <w:color w:val="auto"/>
              </w:rPr>
            </w:pPr>
          </w:p>
        </w:tc>
      </w:tr>
      <w:tr>
        <w:trPr>
          <w:trHeight w:val="216"/>
        </w:trPr>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Farnham, Québec, Canada</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5"/>
              </w:rPr>
              <w:t>10.0</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2"/>
              </w:rPr>
              <w:t>200 Petahash</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Hydroelectric</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Saint-Hyacinthe, Québec, Canada</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40,000</w:t>
            </w:r>
          </w:p>
        </w:tc>
        <w:tc>
          <w:tcPr>
            <w:tcW w:w="1440" w:type="dxa"/>
            <w:vAlign w:val="bottom"/>
            <w:gridSpan w:val="2"/>
          </w:tcPr>
          <w:p>
            <w:pPr>
              <w:ind w:left="800"/>
              <w:spacing w:after="0"/>
              <w:rPr>
                <w:sz w:val="20"/>
                <w:szCs w:val="20"/>
                <w:color w:val="auto"/>
              </w:rPr>
            </w:pPr>
            <w:r>
              <w:rPr>
                <w:rFonts w:ascii="Arial" w:cs="Arial" w:eastAsia="Arial" w:hAnsi="Arial"/>
                <w:sz w:val="18"/>
                <w:szCs w:val="18"/>
                <w:color w:val="auto"/>
              </w:rPr>
              <w:t>15.0</w:t>
            </w:r>
          </w:p>
        </w:tc>
        <w:tc>
          <w:tcPr>
            <w:tcW w:w="1320" w:type="dxa"/>
            <w:vAlign w:val="bottom"/>
            <w:gridSpan w:val="2"/>
          </w:tcPr>
          <w:p>
            <w:pPr>
              <w:ind w:left="160"/>
              <w:spacing w:after="0"/>
              <w:rPr>
                <w:sz w:val="20"/>
                <w:szCs w:val="20"/>
                <w:color w:val="auto"/>
              </w:rPr>
            </w:pPr>
            <w:r>
              <w:rPr>
                <w:rFonts w:ascii="Arial" w:cs="Arial" w:eastAsia="Arial" w:hAnsi="Arial"/>
                <w:sz w:val="18"/>
                <w:szCs w:val="18"/>
                <w:color w:val="auto"/>
              </w:rPr>
              <w:t>335 Petahash</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c>
          <w:tcPr>
            <w:tcW w:w="1220" w:type="dxa"/>
            <w:vAlign w:val="bottom"/>
          </w:tcPr>
          <w:p>
            <w:pPr>
              <w:spacing w:after="0"/>
              <w:rPr>
                <w:sz w:val="20"/>
                <w:szCs w:val="20"/>
                <w:color w:val="auto"/>
              </w:rPr>
            </w:pPr>
            <w:r>
              <w:rPr>
                <w:rFonts w:ascii="Arial" w:cs="Arial" w:eastAsia="Arial" w:hAnsi="Arial"/>
                <w:sz w:val="18"/>
                <w:szCs w:val="18"/>
                <w:color w:val="auto"/>
              </w:rPr>
              <w:t>Hydroelectric</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Cowansville, Québec, Canada</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w:t>
            </w:r>
          </w:p>
        </w:tc>
        <w:tc>
          <w:tcPr>
            <w:tcW w:w="14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17.0</w:t>
            </w:r>
          </w:p>
        </w:tc>
        <w:tc>
          <w:tcPr>
            <w:tcW w:w="1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410 Petahash</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Leased</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Hydroelectric</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Magog, Québec, Canada</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22,000</w:t>
            </w:r>
          </w:p>
        </w:tc>
        <w:tc>
          <w:tcPr>
            <w:tcW w:w="1440" w:type="dxa"/>
            <w:vAlign w:val="bottom"/>
            <w:gridSpan w:val="2"/>
          </w:tcPr>
          <w:p>
            <w:pPr>
              <w:ind w:left="800"/>
              <w:spacing w:after="0"/>
              <w:rPr>
                <w:sz w:val="20"/>
                <w:szCs w:val="20"/>
                <w:color w:val="auto"/>
              </w:rPr>
            </w:pPr>
            <w:r>
              <w:rPr>
                <w:rFonts w:ascii="Arial" w:cs="Arial" w:eastAsia="Arial" w:hAnsi="Arial"/>
                <w:sz w:val="18"/>
                <w:szCs w:val="18"/>
                <w:color w:val="auto"/>
              </w:rPr>
              <w:t>10.0</w:t>
            </w:r>
          </w:p>
        </w:tc>
        <w:tc>
          <w:tcPr>
            <w:tcW w:w="1320" w:type="dxa"/>
            <w:vAlign w:val="bottom"/>
            <w:gridSpan w:val="2"/>
          </w:tcPr>
          <w:p>
            <w:pPr>
              <w:ind w:left="160"/>
              <w:spacing w:after="0"/>
              <w:rPr>
                <w:sz w:val="20"/>
                <w:szCs w:val="20"/>
                <w:color w:val="auto"/>
              </w:rPr>
            </w:pPr>
            <w:r>
              <w:rPr>
                <w:rFonts w:ascii="Arial" w:cs="Arial" w:eastAsia="Arial" w:hAnsi="Arial"/>
                <w:sz w:val="18"/>
                <w:szCs w:val="18"/>
                <w:color w:val="auto"/>
              </w:rPr>
              <w:t>215 Petahash</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c>
          <w:tcPr>
            <w:tcW w:w="1220" w:type="dxa"/>
            <w:vAlign w:val="bottom"/>
          </w:tcPr>
          <w:p>
            <w:pPr>
              <w:spacing w:after="0"/>
              <w:rPr>
                <w:sz w:val="20"/>
                <w:szCs w:val="20"/>
                <w:color w:val="auto"/>
              </w:rPr>
            </w:pPr>
            <w:r>
              <w:rPr>
                <w:rFonts w:ascii="Arial" w:cs="Arial" w:eastAsia="Arial" w:hAnsi="Arial"/>
                <w:sz w:val="18"/>
                <w:szCs w:val="18"/>
                <w:color w:val="auto"/>
              </w:rPr>
              <w:t>Hydroelectric</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 La Pointe - Sherbrooke, Québec, Canada</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78,000</w:t>
            </w:r>
          </w:p>
        </w:tc>
        <w:tc>
          <w:tcPr>
            <w:tcW w:w="14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30.0</w:t>
            </w:r>
          </w:p>
        </w:tc>
        <w:tc>
          <w:tcPr>
            <w:tcW w:w="1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600 Petahash</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Owned</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Hydroelectric</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w w:val="98"/>
              </w:rPr>
              <w:t>The Bunker Phase 1 – Sherbrooke, Québec, Canada</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23,200</w:t>
            </w:r>
          </w:p>
        </w:tc>
        <w:tc>
          <w:tcPr>
            <w:tcW w:w="1440" w:type="dxa"/>
            <w:vAlign w:val="bottom"/>
            <w:gridSpan w:val="2"/>
          </w:tcPr>
          <w:p>
            <w:pPr>
              <w:ind w:left="800"/>
              <w:spacing w:after="0"/>
              <w:rPr>
                <w:sz w:val="20"/>
                <w:szCs w:val="20"/>
                <w:color w:val="auto"/>
              </w:rPr>
            </w:pPr>
            <w:r>
              <w:rPr>
                <w:rFonts w:ascii="Arial" w:cs="Arial" w:eastAsia="Arial" w:hAnsi="Arial"/>
                <w:sz w:val="18"/>
                <w:szCs w:val="18"/>
                <w:color w:val="auto"/>
              </w:rPr>
              <w:t>12.0</w:t>
            </w:r>
          </w:p>
        </w:tc>
        <w:tc>
          <w:tcPr>
            <w:tcW w:w="1320" w:type="dxa"/>
            <w:vAlign w:val="bottom"/>
            <w:gridSpan w:val="2"/>
          </w:tcPr>
          <w:p>
            <w:pPr>
              <w:ind w:left="160"/>
              <w:spacing w:after="0"/>
              <w:rPr>
                <w:sz w:val="20"/>
                <w:szCs w:val="20"/>
                <w:color w:val="auto"/>
              </w:rPr>
            </w:pPr>
            <w:r>
              <w:rPr>
                <w:rFonts w:ascii="Arial" w:cs="Arial" w:eastAsia="Arial" w:hAnsi="Arial"/>
                <w:sz w:val="18"/>
                <w:szCs w:val="18"/>
                <w:color w:val="auto"/>
              </w:rPr>
              <w:t>300 Petahash</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c>
          <w:tcPr>
            <w:tcW w:w="1220" w:type="dxa"/>
            <w:vAlign w:val="bottom"/>
          </w:tcPr>
          <w:p>
            <w:pPr>
              <w:spacing w:after="0"/>
              <w:rPr>
                <w:sz w:val="20"/>
                <w:szCs w:val="20"/>
                <w:color w:val="auto"/>
              </w:rPr>
            </w:pPr>
            <w:r>
              <w:rPr>
                <w:rFonts w:ascii="Arial" w:cs="Arial" w:eastAsia="Arial" w:hAnsi="Arial"/>
                <w:sz w:val="18"/>
                <w:szCs w:val="18"/>
                <w:color w:val="auto"/>
              </w:rPr>
              <w:t>Hydroelectric</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 United States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13,400</w:t>
            </w:r>
          </w:p>
        </w:tc>
        <w:tc>
          <w:tcPr>
            <w:tcW w:w="14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17.0(1)</w:t>
            </w:r>
          </w:p>
        </w:tc>
        <w:tc>
          <w:tcPr>
            <w:tcW w:w="1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570 Petahash</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Owned &amp; Leased</w:t>
            </w: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Hydroelectric</w:t>
            </w: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Villarica, Paraguay</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13,000</w:t>
            </w:r>
          </w:p>
        </w:tc>
        <w:tc>
          <w:tcPr>
            <w:tcW w:w="1440" w:type="dxa"/>
            <w:vAlign w:val="bottom"/>
            <w:gridSpan w:val="2"/>
          </w:tcPr>
          <w:p>
            <w:pPr>
              <w:ind w:left="800"/>
              <w:spacing w:after="0"/>
              <w:rPr>
                <w:sz w:val="20"/>
                <w:szCs w:val="20"/>
                <w:color w:val="auto"/>
              </w:rPr>
            </w:pPr>
            <w:r>
              <w:rPr>
                <w:rFonts w:ascii="Arial" w:cs="Arial" w:eastAsia="Arial" w:hAnsi="Arial"/>
                <w:sz w:val="18"/>
                <w:szCs w:val="18"/>
                <w:color w:val="auto"/>
              </w:rPr>
              <w:t>10.0</w:t>
            </w:r>
          </w:p>
        </w:tc>
        <w:tc>
          <w:tcPr>
            <w:tcW w:w="1320" w:type="dxa"/>
            <w:vAlign w:val="bottom"/>
            <w:gridSpan w:val="2"/>
          </w:tcPr>
          <w:p>
            <w:pPr>
              <w:ind w:left="160"/>
              <w:spacing w:after="0"/>
              <w:rPr>
                <w:sz w:val="20"/>
                <w:szCs w:val="20"/>
                <w:color w:val="auto"/>
              </w:rPr>
            </w:pPr>
            <w:r>
              <w:rPr>
                <w:rFonts w:ascii="Arial" w:cs="Arial" w:eastAsia="Arial" w:hAnsi="Arial"/>
                <w:sz w:val="18"/>
                <w:szCs w:val="18"/>
                <w:color w:val="auto"/>
              </w:rPr>
              <w:t>120 Petehash</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c>
          <w:tcPr>
            <w:tcW w:w="1220" w:type="dxa"/>
            <w:vAlign w:val="bottom"/>
          </w:tcPr>
          <w:p>
            <w:pPr>
              <w:spacing w:after="0"/>
              <w:rPr>
                <w:sz w:val="20"/>
                <w:szCs w:val="20"/>
                <w:color w:val="auto"/>
              </w:rPr>
            </w:pPr>
            <w:r>
              <w:rPr>
                <w:rFonts w:ascii="Arial" w:cs="Arial" w:eastAsia="Arial" w:hAnsi="Arial"/>
                <w:sz w:val="18"/>
                <w:szCs w:val="18"/>
                <w:color w:val="auto"/>
              </w:rPr>
              <w:t>Hydroelectric</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25" w:lineRule="exact"/>
        <w:rPr>
          <w:sz w:val="20"/>
          <w:szCs w:val="20"/>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the Washington Facility, the Company has acquired 17 MW of transformers, 12 MW of power contracts, 12 MW of in-process power applications and a 5 MW below-market lease, resulting in operational power capacity of 17 MW.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and Future Growth</w:t>
      </w:r>
    </w:p>
    <w:p>
      <w:pPr>
        <w:spacing w:after="0" w:line="229"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Company has described its expansion plans below under the sections “Cowansville Expansion”, “Sherbrooke Expansion”, “Argentina Expansion”, “Paraguay Expansion” and “Washington Expansion”. The Company has set a target of reaching 8.0 EH/s by the end of 2022. The Company currently anticipates that its existing orders for Miners and the infrastructure scheduled to be completed in 2022 will be capable of producing 7.2 EH/s and continues to evaluate opportunities that will provide the additional infrastructure and Mining hardware required to reach and exceed its 8.0 EH/s target.</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estimated costs and timelines to achieve these expansion plans may change based on, among other factors, the prevailing price of Bitcoin, network difficulty, supply of cryptocurrency mining equipment, supply of electrical and other supporting infrastructure equipment, construction materials, currency exchange rates, the impact of COVID-19 on the supply chains described above and the Company’s ability to fund the initiatives. The Company’s expansion plans are reliant on a consistent supply of electricity at cost-effective rates, see the </w:t>
      </w:r>
      <w:r>
        <w:rPr>
          <w:rFonts w:ascii="Arial" w:cs="Arial" w:eastAsia="Arial" w:hAnsi="Arial"/>
          <w:sz w:val="18"/>
          <w:szCs w:val="18"/>
          <w:i w:val="1"/>
          <w:iCs w:val="1"/>
          <w:color w:val="auto"/>
        </w:rPr>
        <w:t>Economic Dependence on Regulated Terms of Service and Electricity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Rates Risks </w:t>
      </w:r>
      <w:r>
        <w:rPr>
          <w:rFonts w:ascii="Arial" w:cs="Arial" w:eastAsia="Arial" w:hAnsi="Arial"/>
          <w:sz w:val="18"/>
          <w:szCs w:val="18"/>
          <w:color w:val="auto"/>
        </w:rPr>
        <w:t>of this AIF for further details.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Cowansville Expansion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completed construction of Phase 2 at its Mining facility in Cowansville, Quebec, in Q3 2021, at a cost of approximately $3.1 million. The Phase 2 expansion replaces the original 4 MW site that was operational in 2017, with an entirely new 17 MW facility capable of accommodating approximately 4,500 new generation miners producing 450 PH/s. The buildout also includes a new repair lab and operations command center.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Sherbrooke Expansion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8, 2018, Backbone announced a 96.0-megawatt power contract in the municipality of Sherbrooke, Québec for a new server farm facility (herein referred to as the “</w:t>
      </w:r>
      <w:r>
        <w:rPr>
          <w:rFonts w:ascii="Arial" w:cs="Arial" w:eastAsia="Arial" w:hAnsi="Arial"/>
          <w:sz w:val="18"/>
          <w:szCs w:val="18"/>
          <w:b w:val="1"/>
          <w:bCs w:val="1"/>
          <w:color w:val="auto"/>
        </w:rPr>
        <w:t>Sherbrooke Expansion</w:t>
      </w:r>
      <w:r>
        <w:rPr>
          <w:rFonts w:ascii="Arial" w:cs="Arial" w:eastAsia="Arial" w:hAnsi="Arial"/>
          <w:sz w:val="18"/>
          <w:szCs w:val="18"/>
          <w:color w:val="auto"/>
        </w:rPr>
        <w:t>”). The properties in Sherbrooke consisted of a 78,000 sq. foot facility (the “</w:t>
      </w:r>
      <w:r>
        <w:rPr>
          <w:rFonts w:ascii="Arial" w:cs="Arial" w:eastAsia="Arial" w:hAnsi="Arial"/>
          <w:sz w:val="18"/>
          <w:szCs w:val="18"/>
          <w:b w:val="1"/>
          <w:bCs w:val="1"/>
          <w:color w:val="auto"/>
        </w:rPr>
        <w:t>de la Pointe Property</w:t>
      </w:r>
      <w:r>
        <w:rPr>
          <w:rFonts w:ascii="Arial" w:cs="Arial" w:eastAsia="Arial" w:hAnsi="Arial"/>
          <w:sz w:val="18"/>
          <w:szCs w:val="18"/>
          <w:color w:val="auto"/>
        </w:rPr>
        <w:t>”), and a 36,000 sq. foot facility (the “</w:t>
      </w:r>
      <w:r>
        <w:rPr>
          <w:rFonts w:ascii="Arial" w:cs="Arial" w:eastAsia="Arial" w:hAnsi="Arial"/>
          <w:sz w:val="18"/>
          <w:szCs w:val="18"/>
          <w:b w:val="1"/>
          <w:bCs w:val="1"/>
          <w:color w:val="auto"/>
        </w:rPr>
        <w:t>Leger Property</w:t>
      </w:r>
      <w:r>
        <w:rPr>
          <w:rFonts w:ascii="Arial" w:cs="Arial" w:eastAsia="Arial" w:hAnsi="Arial"/>
          <w:sz w:val="18"/>
          <w:szCs w:val="18"/>
          <w:color w:val="auto"/>
        </w:rPr>
        <w:t>”). On February 11, 2019, the Leger Property was sold for CAD$1,750,000 and as part of the agreement reached with the buyer, a real estate developer, the buyer agreed to construct a purpose-built addition to the building for crypto-mining that would be leased to Bitfarms and allow it to realize net savings in its overall future buildout costs for the Sherbrooke Expansion while also providing immediate working capital from the proceeds of the building sale.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construction of the Sherbrooke Expansion is anticipated to be comprised of three buildings, each having multiple stages (each a “</w:t>
      </w:r>
      <w:r>
        <w:rPr>
          <w:rFonts w:ascii="Arial" w:cs="Arial" w:eastAsia="Arial" w:hAnsi="Arial"/>
          <w:sz w:val="18"/>
          <w:szCs w:val="18"/>
          <w:b w:val="1"/>
          <w:bCs w:val="1"/>
          <w:color w:val="auto"/>
        </w:rPr>
        <w:t>Stage</w:t>
      </w:r>
      <w:r>
        <w:rPr>
          <w:rFonts w:ascii="Arial" w:cs="Arial" w:eastAsia="Arial" w:hAnsi="Arial"/>
          <w:sz w:val="18"/>
          <w:szCs w:val="18"/>
          <w:color w:val="auto"/>
        </w:rPr>
        <w:t>”) based on megawatt capacity, and followed by a decommissioning stage for oldest of the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 la Pointe Property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successfully completed Stages 1 and 2 of the de la Pointe facility representing 30 MW of electrical infrastructure, which has been operational since 2019. In response to complaints concerning noise at the de la Pointe facility and indications from Sherbrooke municipal officials that they were reviewing applicable regulations, the Company met with community residents and city officials on several occasions during 2020 and 2021. In an effort to address community concerns, the Company constructed a sound barrier wall at a cost of approximately $0.3 million in 2020 and invested $0.7 million to install quieter exhaust structures and fans as well as other sound mitigating measures, including real-time sound monitoring equipment and feedback channels for residents to communicate directly with the Company.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19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spacing w:after="0" w:line="255" w:lineRule="auto"/>
        <w:rPr>
          <w:sz w:val="20"/>
          <w:szCs w:val="20"/>
          <w:color w:val="auto"/>
        </w:rPr>
      </w:pPr>
      <w:r>
        <w:rPr>
          <w:rFonts w:ascii="Arial" w:cs="Arial" w:eastAsia="Arial" w:hAnsi="Arial"/>
          <w:sz w:val="18"/>
          <w:szCs w:val="18"/>
          <w:color w:val="auto"/>
        </w:rPr>
        <w:t>In September 2021, the Company reached an agreement with the City of Sherbrooke to gradually retire the original de la Pointe facility. Under the agreement, the Company will reduce its consumption at the de la Pointe facility to 18 MW at the earlier of the completion of 66 MW of new electrical infrastructure elsewhere in the City of Sherbrooke, or May 31, 2022. The Company will entirely relocate its operations from the de la Pointe facility at the earlier of the completion of 80 MW of new electrical infrastructure in the City of Sherbrooke, or February 28, 2023. In addition, the Company has the option to sell the land and building currently housing Phases 1 and 2 of the Sherbrooke Expansion to the City of Sherbrooke for approximately $2.4 million ($3.0 million CAD) or to a third party.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Leger Property</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2021, the Company entered into a lease agreement for the purpose-built Leger Property. The Leger Property is expected to be completed in the first half of 2022 representing 30 MW of electrical infrastructure at an estimated total cost of approximately $7 million. The facility is expected to be capable of housing up to 8,000 new generation miners representing up to 800 PH/s of computing power.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Bunker</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In 2021, the Company entered into a lease agreement for an existing building in Sherbrooke capable of housing up to 48 MW of electrical infrastructure (the </w:t>
      </w:r>
      <w:r>
        <w:rPr>
          <w:rFonts w:ascii="Arial" w:cs="Arial" w:eastAsia="Arial" w:hAnsi="Arial"/>
          <w:sz w:val="17"/>
          <w:szCs w:val="17"/>
          <w:b w:val="1"/>
          <w:bCs w:val="1"/>
          <w:color w:val="auto"/>
        </w:rPr>
        <w:t>‘Bunker Property</w:t>
      </w:r>
      <w:r>
        <w:rPr>
          <w:rFonts w:ascii="Arial" w:cs="Arial" w:eastAsia="Arial" w:hAnsi="Arial"/>
          <w:sz w:val="17"/>
          <w:szCs w:val="17"/>
          <w:color w:val="auto"/>
        </w:rPr>
        <w:t>”), at an estimated total cost of approximately $10 million, and scheduled to be completed in three Stages: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Phase one, representing 18 MW was constructed in a pre-existing building. Internal infrastructure work began in Q4 2021 with the first 12 MW becoming operational in March 2022, and the remaining 6 MW scheduled for completion in mid-2022.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Phase two, representing 18 MW, is in a portion of the building still under construction. Internal infrastructure work has begun and is scheduled to be operational in mid-2022.</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Phase three, representing the remaining 12 MW, is in a portion of the building that is under construction and operations are expected to commence in the second half of 2022.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Overall, the facility is expected to be capable of housing up to 13,000 new generation miners representing up to 1,300 PH/s of computing power.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Garlock</w:t>
      </w:r>
    </w:p>
    <w:p>
      <w:pPr>
        <w:spacing w:after="0" w:line="22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In March 2022, the Company acquired an existing building in Sherbrooke (the “</w:t>
      </w:r>
      <w:r>
        <w:rPr>
          <w:rFonts w:ascii="Arial" w:cs="Arial" w:eastAsia="Arial" w:hAnsi="Arial"/>
          <w:sz w:val="16"/>
          <w:szCs w:val="16"/>
          <w:b w:val="1"/>
          <w:bCs w:val="1"/>
          <w:color w:val="auto"/>
        </w:rPr>
        <w:t>Garlock Property</w:t>
      </w:r>
      <w:r>
        <w:rPr>
          <w:rFonts w:ascii="Arial" w:cs="Arial" w:eastAsia="Arial" w:hAnsi="Arial"/>
          <w:sz w:val="16"/>
          <w:szCs w:val="16"/>
          <w:color w:val="auto"/>
        </w:rPr>
        <w:t>”) at a cost of approximately $1.8 million and the issuance of 25,000 common share purchase warrants to the seller. The Garlock property is expected to be completed in one phase and operational by the first quarter of 2022, representing 18 MW of electrical infrastructure at an estimated cost of approximately $5 million. The Garlock Property is expected to segmentally replace the de la Pointe Property in accordance with the Company’s agreement with the City of Sherbrooke reached in September 2021.</w:t>
      </w:r>
    </w:p>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capital cost of constructing the electrical infrastructure for the Leger Property, the Bunker Property and the Garlock Property, the Company plans to deploy a significant portion of its order of 48,000 MicroBT miners at these facilities, with deliveries scheduled to arrive in 2022 at an estimated cost of $80.0 to $90.0 million.</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ability to undertake the construction of the remaining Sherbrooke Expansion depends, among other things, on the Company’s ability to raise the required financing. The Company intends to finance the remainder of the construction of the Sherbrooke Expansion, including remaining payments on the 48,000 unit MicroBT order, by raising additional debt or equity capital or a combination of these means, as well as through the cash flow generated from its operations. There can be no assurance that the remaining Sherbrooke Expansion will be fully funded and completed on any particular schedule or at all.</w:t>
      </w: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20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Argentina Expansion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April 2021, the Company entered into an eight-year power purchase agreement for up to 210 MW with a private Argentinian power producer, with an electricity cost of $0.02 per kilowatt-hour for up to 1,103,760 megawatt hours per year, for the first four years, subject to certain adjustments, variable pricing components and consumption limitations. The pricing on the remaining four years of the eight year energy contract will be determined by a formula that is largely dependent on natural gas prices, which have been adversely impacted by recent geopolitical events. Refer to the </w:t>
      </w:r>
      <w:r>
        <w:rPr>
          <w:rFonts w:ascii="Arial" w:cs="Arial" w:eastAsia="Arial" w:hAnsi="Arial"/>
          <w:sz w:val="18"/>
          <w:szCs w:val="18"/>
          <w:i w:val="1"/>
          <w:iCs w:val="1"/>
          <w:color w:val="auto"/>
        </w:rPr>
        <w:t>Supply of Electrical Power,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Electricity Rates, Terms of Service and the Régie de l’Énergie </w:t>
      </w:r>
      <w:r>
        <w:rPr>
          <w:rFonts w:ascii="Arial" w:cs="Arial" w:eastAsia="Arial" w:hAnsi="Arial"/>
          <w:sz w:val="18"/>
          <w:szCs w:val="18"/>
          <w:color w:val="auto"/>
        </w:rPr>
        <w:t>and</w:t>
      </w:r>
      <w:r>
        <w:rPr>
          <w:rFonts w:ascii="Arial" w:cs="Arial" w:eastAsia="Arial" w:hAnsi="Arial"/>
          <w:sz w:val="18"/>
          <w:szCs w:val="18"/>
          <w:i w:val="1"/>
          <w:iCs w:val="1"/>
          <w:color w:val="auto"/>
        </w:rPr>
        <w:t xml:space="preserve"> Economic Dependence on Regulated Terms of Service and Electricity Rates Risks </w:t>
      </w:r>
      <w:r>
        <w:rPr>
          <w:rFonts w:ascii="Arial" w:cs="Arial" w:eastAsia="Arial" w:hAnsi="Arial"/>
          <w:sz w:val="18"/>
          <w:szCs w:val="18"/>
          <w:color w:val="auto"/>
        </w:rPr>
        <w:t>sections of this AIF. In July 2021, the Company entered into an eight-year lease agreement, comprising annual payments of approximately $0.1 million, with the power producer to lease land within the power producer’s property for the mining facility’s construction in the Province of Cordoba, Argentina (the “</w:t>
      </w:r>
      <w:r>
        <w:rPr>
          <w:rFonts w:ascii="Arial" w:cs="Arial" w:eastAsia="Arial" w:hAnsi="Arial"/>
          <w:sz w:val="18"/>
          <w:szCs w:val="18"/>
          <w:b w:val="1"/>
          <w:bCs w:val="1"/>
          <w:color w:val="auto"/>
        </w:rPr>
        <w:t>Rio Cuarto Facility</w:t>
      </w:r>
      <w:r>
        <w:rPr>
          <w:rFonts w:ascii="Arial" w:cs="Arial" w:eastAsia="Arial" w:hAnsi="Arial"/>
          <w:sz w:val="18"/>
          <w:szCs w:val="18"/>
          <w:color w:val="auto"/>
        </w:rPr>
        <w:t>”).</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September 2021, the Company entered into a contract with Proyectos y Obras Americanas S.A. (“</w:t>
      </w:r>
      <w:r>
        <w:rPr>
          <w:rFonts w:ascii="Arial" w:cs="Arial" w:eastAsia="Arial" w:hAnsi="Arial"/>
          <w:sz w:val="16"/>
          <w:szCs w:val="16"/>
          <w:b w:val="1"/>
          <w:bCs w:val="1"/>
          <w:color w:val="auto"/>
        </w:rPr>
        <w:t>PROA</w:t>
      </w:r>
      <w:r>
        <w:rPr>
          <w:rFonts w:ascii="Arial" w:cs="Arial" w:eastAsia="Arial" w:hAnsi="Arial"/>
          <w:sz w:val="16"/>
          <w:szCs w:val="16"/>
          <w:color w:val="auto"/>
        </w:rPr>
        <w:t>”), to provide engineering, procurement, and construction services for the Argentina facility. PROA specializes in utility-grade electrical infrastructure and civil construction with relevant expertise in the design and construction of electrical interconnections, high voltage electrical lines, and transformers needed for operations of the size of the planned Argentina facility. The Company has also engaged Dreicon S.A. as an independent engineering firm to oversee construction, quality control and project milestones for the Company’s projected buildout schedule. As of December 31, 2021, the Company has placed deposits of $8.5 million with suppliers for construction costs, acquired $0.6 million of property, plant and equipment and incurred $0.3 million of expenditures relating to design and feasibility studies. The facility, if fully developed, is expected to be developed as four separate warehouse style buildings. The first two warehouses, which are included in the capacity needed to reach the 7.2 EH/s figure described above, represent approximately 100 MW of infrastructure capacity and are expected to be completed in October and December 2022. All four warehouses, if built, are currently estimated to range from $55 million to $65 million, net of any expected gains on disposition of marketable securities in connection with the Company’s mechanism for funding the Argentina Expansion, as described above. All four warehouses, if built, are expected to be able to accommodate over 55,000 new generation Miners, and be capable of producing approximately 5.5 EH/s. The Company plans to deploy a significant portion of its order of 48,000 MicroBT miners at this facility, with deliveries scheduled to arrive in 2022. There can be no assurance that the Argentina Expansion will be fully funded and completed on any particular schedule or at all.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Paraguay Expansion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2021, the Company entered into a 10 MW power purchase agreement with a power producer in Paraguay with a current effective electricity cost of $0.036 per kilowatt hour and renewable on an annual basis. The Company also entered into a five-year lease agreement with the same counterparty, consisting of monthly payments of $20,000, beginning August 1, 2021, to lease land where the facility was constructed and, separately, entered into a construction and operations contract to develop and operate the facility. The construction of the facility cost $1.1 million and was completed in December 2021 and was operational in January 2022. The facility is expected to accommodate up to 2,900 of the Company’s older generation Miners, capable of producing approximately 120 PH/s.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Washington Expansion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November 9, 2021, the Company completed the acquisition of a facility in Washington state, consisting of 12 MW of hydro-electric power purchase agreements, an additional 12 MW of in-process applications for expanded power-purchase agreements, transformers with 17 MW of capacity, land, buildings, electrical distribution equipment and a below market lease for a 5 MW facility, expiring on November 8, 2022. The Company is currently operating 17 MW of electrical infrastructure and the majority of the Company’s Antminer S19j Pro Miners generating approximately 570 PH/s in this facility. The Company’s power supplier has provided preliminary indication that the first 6 MW of in-process applications are estimated to be energized in Q3 2022, while the remaining 6 MW of in-process applications are estimated to be energized in Q2 2024. The Company transferred approximately $23.0 million in cash and 414,508 Common shares with a value of $3.7 million on the closing date. The net identifiable assets acquired include: electrical distribution equipment valued at $7.1 million, buildings valued at $0.8 million, land valued at $0.1 million and a favourable lease valued at $1.8 million. The acquisition resulted in the Company recording goodwill of $17.0 million.</w:t>
      </w: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21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spacing w:after="0" w:line="254" w:lineRule="auto"/>
        <w:rPr>
          <w:sz w:val="20"/>
          <w:szCs w:val="20"/>
          <w:color w:val="auto"/>
        </w:rPr>
      </w:pPr>
      <w:r>
        <w:rPr>
          <w:rFonts w:ascii="Arial" w:cs="Arial" w:eastAsia="Arial" w:hAnsi="Arial"/>
          <w:sz w:val="18"/>
          <w:szCs w:val="18"/>
          <w:color w:val="auto"/>
        </w:rPr>
        <w:t>The Company estimates that if the construction of the Sherbrooke and Argentina Expansion are completed and operated at capacity, the Company’s aggregate computing power will increase substantially and its workforce in Québec and Argentina will be expanded. Estimates are based on, among other factors, the size of the facilities, the planned capital expenditures associated with the project, the number of Miners which may be configured within the facilities, and prevailing economic circumstances and currency exchange rates. In the event that the assumptions used to project the impact of the new server farms, including all of the Company’s Expansions described above, prove to be inaccurate or incorrect, there can be no guarantee that the new servers will increase the Company’s computing power as projected. Among other factors, there can be no guarantee that the Company will be able to obtain a continued supply of electricity to power its new facilities at commercially attractive rates. See “</w:t>
      </w:r>
      <w:r>
        <w:rPr>
          <w:rFonts w:ascii="Arial" w:cs="Arial" w:eastAsia="Arial" w:hAnsi="Arial"/>
          <w:sz w:val="18"/>
          <w:szCs w:val="18"/>
          <w:i w:val="1"/>
          <w:iCs w:val="1"/>
          <w:color w:val="auto"/>
        </w:rPr>
        <w:t>RISK FACTORS – Economic Dependence on Regulated</w:t>
      </w:r>
      <w:r>
        <w:rPr>
          <w:rFonts w:ascii="Arial" w:cs="Arial" w:eastAsia="Arial" w:hAnsi="Arial"/>
          <w:sz w:val="18"/>
          <w:szCs w:val="18"/>
          <w:color w:val="auto"/>
        </w:rPr>
        <w:t xml:space="preserve"> </w:t>
      </w:r>
      <w:r>
        <w:rPr>
          <w:rFonts w:ascii="Arial" w:cs="Arial" w:eastAsia="Arial" w:hAnsi="Arial"/>
          <w:sz w:val="18"/>
          <w:szCs w:val="18"/>
          <w:i w:val="1"/>
          <w:iCs w:val="1"/>
          <w:color w:val="auto"/>
        </w:rPr>
        <w:t>Terms of Service and Electricity Rates Risks”.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there can be no assurance that the Company’s facilities can be operated on a profitable basis. The foregoing information is forward-looking information for the purposes of applicable securities laws in Canada and readers are cautioned that actual results may vary from those described. See “</w:t>
      </w:r>
      <w:r>
        <w:rPr>
          <w:rFonts w:ascii="Arial" w:cs="Arial" w:eastAsia="Arial" w:hAnsi="Arial"/>
          <w:sz w:val="18"/>
          <w:szCs w:val="18"/>
          <w:i w:val="1"/>
          <w:iCs w:val="1"/>
          <w:color w:val="auto"/>
        </w:rPr>
        <w:t>STATEMENT REGARDING FORWARD LOOKING STATEMENTS</w:t>
      </w:r>
      <w:r>
        <w:rPr>
          <w:rFonts w:ascii="Arial" w:cs="Arial" w:eastAsia="Arial" w:hAnsi="Arial"/>
          <w:sz w:val="18"/>
          <w:szCs w:val="18"/>
          <w:color w:val="auto"/>
        </w:rPr>
        <w:t>” and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its first two years of operation, Backbone was principally self-funded by the free cash flow generated from the sale of cryptographic currencies it mined combined with the proceeds of long-term financing to acquire new equipment and preserve an adequate working capital position. In 2021, the Company began to raise capital through the issuance of common shares and warrants concurrent with the initiation of its Bitcoin retention program. To fund its growth objectives and preserve an adequate working capital position, the Company may liquidate its cryptocurrency holdings and secure long-term financing through the issuance of equity and through new debt facilities.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14, 2019, Backbone entered into the Dominion Facility, composed of a secured debt financing facility for up to $20.0 million with the Lender, structured into four separate tranches. As of August 2019, all of the Loans were drawn down. See “</w:t>
      </w:r>
      <w:r>
        <w:rPr>
          <w:rFonts w:ascii="Arial" w:cs="Arial" w:eastAsia="Arial" w:hAnsi="Arial"/>
          <w:sz w:val="18"/>
          <w:szCs w:val="18"/>
          <w:i w:val="1"/>
          <w:iCs w:val="1"/>
          <w:color w:val="auto"/>
        </w:rPr>
        <w:t>GENERAL DEVELOPMENT OF THE BUSINESS –</w:t>
      </w:r>
      <w:r>
        <w:rPr>
          <w:rFonts w:ascii="Arial" w:cs="Arial" w:eastAsia="Arial" w:hAnsi="Arial"/>
          <w:sz w:val="18"/>
          <w:szCs w:val="18"/>
          <w:color w:val="auto"/>
        </w:rPr>
        <w:t xml:space="preserve"> </w:t>
      </w:r>
      <w:r>
        <w:rPr>
          <w:rFonts w:ascii="Arial" w:cs="Arial" w:eastAsia="Arial" w:hAnsi="Arial"/>
          <w:sz w:val="18"/>
          <w:szCs w:val="18"/>
          <w:i w:val="1"/>
          <w:iCs w:val="1"/>
          <w:color w:val="auto"/>
        </w:rPr>
        <w:t>Three Year History – Fiscal 2019 – Debt Financing</w:t>
      </w:r>
      <w:r>
        <w:rPr>
          <w:rFonts w:ascii="Arial" w:cs="Arial" w:eastAsia="Arial" w:hAnsi="Arial"/>
          <w:sz w:val="18"/>
          <w:szCs w:val="18"/>
          <w:color w:val="auto"/>
        </w:rPr>
        <w: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12, 2020, the Company entered into an agreement with Dominion to effect the Tranche #2 Restructuring and Tranche #3 Restructuring. See “</w:t>
      </w:r>
      <w:r>
        <w:rPr>
          <w:rFonts w:ascii="Arial" w:cs="Arial" w:eastAsia="Arial" w:hAnsi="Arial"/>
          <w:sz w:val="18"/>
          <w:szCs w:val="18"/>
          <w:i w:val="1"/>
          <w:iCs w:val="1"/>
          <w:color w:val="auto"/>
        </w:rPr>
        <w:t>GENERAL DEVELOPMENT OF THE BUSINESS – Three Year History – Fiscal 2020 – Debt Financing</w:t>
      </w:r>
      <w:r>
        <w:rPr>
          <w:rFonts w:ascii="Arial" w:cs="Arial" w:eastAsia="Arial" w:hAnsi="Arial"/>
          <w:sz w:val="18"/>
          <w:szCs w:val="18"/>
          <w:color w:val="auto"/>
        </w:rPr>
        <w:t>”. On January 11, the Company received notice from Dominion of its election to convert $5,000,000, the principal amount of the third loan tranche into equity. The conversion to equity took place in January 2021.</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 aggregate of 6,666,668 Lender Warrants have been issued for the Loans drawn down. As of the date of February 2021, the Dominion Facility has been repaid in its entirety and all Lender Warrants have been exercised.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the date of this AIF, proceeds from the Loans have been used to complete the buildout of infrastructure for the de la Pointe Facility of the Sherbrooke Expansion and make purchases of new Miners for the de la Pointe facility and for the other existing facilities.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receipt of additional funds and completion of the Leger Property and the Bunker Property, there would be an additional 78.0 megawatts of power capacity. There is no assurance that the Company will be able to raise any additional funds required to complete its operational expansion. See “RISK FACTORS”.</w:t>
      </w:r>
    </w:p>
    <w:p>
      <w:pPr>
        <w:spacing w:after="0" w:line="18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On January 7, 2021, the Company closed the January 7, 2021, Offering for gross proceeds of approximately CAD$20.0 million, composed of the sale of 8,888,889 Common Shares along with warrants to purchase an aggregate of up to 8,888,889 Common Shares at a purchase price of CAD$2.25 per Common Share and associated warrant. See “</w:t>
      </w:r>
      <w:r>
        <w:rPr>
          <w:rFonts w:ascii="Arial" w:cs="Arial" w:eastAsia="Arial" w:hAnsi="Arial"/>
          <w:sz w:val="16"/>
          <w:szCs w:val="16"/>
          <w:i w:val="1"/>
          <w:iCs w:val="1"/>
          <w:color w:val="auto"/>
        </w:rPr>
        <w:t>GENERAL DEVELOPMENT OF THE BUSINESS – Three Year History – Fiscal 2021 – Private Placements</w:t>
      </w:r>
      <w:r>
        <w:rPr>
          <w:rFonts w:ascii="Arial" w:cs="Arial" w:eastAsia="Arial" w:hAnsi="Arial"/>
          <w:sz w:val="16"/>
          <w:szCs w:val="16"/>
          <w:color w:val="auto"/>
        </w:rPr>
        <w:t>”.</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color w:val="auto"/>
        </w:rPr>
        <w:t>22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spacing w:after="0" w:line="311" w:lineRule="auto"/>
        <w:rPr>
          <w:sz w:val="20"/>
          <w:szCs w:val="20"/>
          <w:color w:val="auto"/>
        </w:rPr>
      </w:pPr>
      <w:r>
        <w:rPr>
          <w:rFonts w:ascii="Arial" w:cs="Arial" w:eastAsia="Arial" w:hAnsi="Arial"/>
          <w:sz w:val="16"/>
          <w:szCs w:val="16"/>
          <w:color w:val="auto"/>
        </w:rPr>
        <w:t>On January 13, 2021, the Company closed the January 13, 2021, Offering for gross proceeds of approximately CAD$20.0 million, composed of the sale of 5,586,593 Common Shares along with warrants to purchase an aggregate of up to 5,586,593 Common Shares at a purchase price of CAD$3.58 per Common Share and associated warrant. See “</w:t>
      </w:r>
      <w:r>
        <w:rPr>
          <w:rFonts w:ascii="Arial" w:cs="Arial" w:eastAsia="Arial" w:hAnsi="Arial"/>
          <w:sz w:val="16"/>
          <w:szCs w:val="16"/>
          <w:i w:val="1"/>
          <w:iCs w:val="1"/>
          <w:color w:val="auto"/>
        </w:rPr>
        <w:t>GENERAL DEVELOPMENT OF THE BUSINESS – Three Year History – Fiscal 2021 – Private Placements</w:t>
      </w:r>
      <w:r>
        <w:rPr>
          <w:rFonts w:ascii="Arial" w:cs="Arial" w:eastAsia="Arial" w:hAnsi="Arial"/>
          <w:sz w:val="16"/>
          <w:szCs w:val="16"/>
          <w:color w:val="auto"/>
        </w:rPr>
        <w:t>”.</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February 10, 2021, the Company closed the February 2021, Offering for gross proceeds of approximately CAD$40.0 million, composed of the sale of 11,560,695 Common Shares along with warrants to purchase an aggregate of up to 11,560,695 common shares at a purchase price of CAD$3.46 per common share and associated warrant. See “</w:t>
      </w:r>
      <w:r>
        <w:rPr>
          <w:rFonts w:ascii="Arial" w:cs="Arial" w:eastAsia="Arial" w:hAnsi="Arial"/>
          <w:sz w:val="16"/>
          <w:szCs w:val="16"/>
          <w:i w:val="1"/>
          <w:iCs w:val="1"/>
          <w:color w:val="auto"/>
        </w:rPr>
        <w:t>GENERAL DEVELOPMENT OF THE BUSINESS – Three Year History – Fiscal 2021 – Private Placements</w:t>
      </w:r>
      <w:r>
        <w:rPr>
          <w:rFonts w:ascii="Arial" w:cs="Arial" w:eastAsia="Arial" w:hAnsi="Arial"/>
          <w:sz w:val="16"/>
          <w:szCs w:val="16"/>
          <w:color w:val="auto"/>
        </w:rPr>
        <w:t>”.</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May 20, 2021, the Company completed the May 2021, Offering with gross proceeds of approximately CAD$75.0 million, composed of the sale of 14,150,94 Common Shares along with warrants to purchase an aggregate of up to 10,613,208 common shares at a purchase price of CAD$5.30 per common share and associated warrant. See “</w:t>
      </w:r>
      <w:r>
        <w:rPr>
          <w:rFonts w:ascii="Arial" w:cs="Arial" w:eastAsia="Arial" w:hAnsi="Arial"/>
          <w:sz w:val="16"/>
          <w:szCs w:val="16"/>
          <w:i w:val="1"/>
          <w:iCs w:val="1"/>
          <w:color w:val="auto"/>
        </w:rPr>
        <w:t>GENERAL DEVELOPMENT OF THE BUSINESS – Three Year History – Fiscal 2021 – Private Placements</w:t>
      </w:r>
      <w:r>
        <w:rPr>
          <w:rFonts w:ascii="Arial" w:cs="Arial" w:eastAsia="Arial" w:hAnsi="Arial"/>
          <w:sz w:val="16"/>
          <w:szCs w:val="16"/>
          <w:color w:val="auto"/>
        </w:rPr>
        <w:t>”.</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30, 2021, the Company secured the December 2021 Loan Facility and made an initial draw of US$60 million. See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 OF THE BUSINESS – Three Year History – Fiscal 2021 – Debt Financing</w:t>
      </w:r>
      <w:r>
        <w:rPr>
          <w:rFonts w:ascii="Arial" w:cs="Arial" w:eastAsia="Arial" w:hAnsi="Arial"/>
          <w:sz w:val="18"/>
          <w:szCs w:val="18"/>
          <w:color w:val="auto"/>
        </w:rPr>
        <w: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12, 2021, the Company filed the August SBSF Prospectus. On August 16, 2021, the Company filed a prospectus supplement to the August SBSF Prospectus qualifying for the distribution of up to US$500 million Common Shares pursuant to the ATM Agreement. As of the date of this AIF, the Company has raised gross proceeds of US$175.9 million under the ATM Agreement.</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February 24, 2022, the Company secured the February 2022 Loan Facility. As of the date of this AIF, the Company has drawn $32.0 million from the February 2022 Loan Facility. See “</w:t>
      </w:r>
      <w:r>
        <w:rPr>
          <w:rFonts w:ascii="Arial" w:cs="Arial" w:eastAsia="Arial" w:hAnsi="Arial"/>
          <w:sz w:val="17"/>
          <w:szCs w:val="17"/>
          <w:i w:val="1"/>
          <w:iCs w:val="1"/>
          <w:color w:val="auto"/>
        </w:rPr>
        <w:t>GENERAL DEVELOPMENT OF THE BUSINESS – Three Year History – Fiscal 2022 – Debt Financing</w:t>
      </w:r>
      <w:r>
        <w:rPr>
          <w:rFonts w:ascii="Arial" w:cs="Arial" w:eastAsia="Arial" w:hAnsi="Arial"/>
          <w:sz w:val="17"/>
          <w:szCs w:val="17"/>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twelve-month period ending December 31, 2019, Bitfarms Canada generated revenues of $32.4 million from the mining of cryptocurrencies and provision of electrical services and did not hold any cryptocurrency as at December 31, 2019. In the twelve-month period ending December 31, 2020, Bitfarms Canada generated revenues of $34.7 million from the mining of cryptocurrencies, the provision of electrical services and the hosting of third-party mining hardware and did not hold any cryptocurrency as at December 31, 2020. In the twelve-month period ending December 31, 2021, Bitfarms Canada generated revenues of $169.5 million from the mining of cryptocurrencies, the provision of electrical services and the hosting of third-party mining hardware and held approximately $152.9 million worth of Bitcoin as at December 31, 2021, based on the prevailing market price of Bitcoin of $46,300 as at December 31, 2021.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provides the service of validating and verifying transactions on the blockchain for Bitcoin, generating cryptocurrency and transaction fees through the Mining process, as well as provision of electrical services through Volta.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Specialized Skill and Knowledge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Nicolas Bonta, Emiliano J. Grodzki, Ben Gagnon and Benoit Gobeil have been engaged in both small and commercial-scale cryptocurrency mining for several years. See “</w:t>
      </w:r>
      <w:r>
        <w:rPr>
          <w:rFonts w:ascii="Arial" w:cs="Arial" w:eastAsia="Arial" w:hAnsi="Arial"/>
          <w:sz w:val="18"/>
          <w:szCs w:val="18"/>
          <w:i w:val="1"/>
          <w:iCs w:val="1"/>
          <w:color w:val="auto"/>
        </w:rPr>
        <w:t>DIRECTORS AND OFFICERS</w:t>
      </w:r>
      <w:r>
        <w:rPr>
          <w:rFonts w:ascii="Arial" w:cs="Arial" w:eastAsia="Arial" w:hAnsi="Arial"/>
          <w:sz w:val="18"/>
          <w:szCs w:val="18"/>
          <w:color w:val="auto"/>
        </w:rPr>
        <w:t>”.</w:t>
      </w: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23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Competitive Conditions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cryptocurrency mining industry is highly competitive. There are several companies that mine cryptocurrency including Hut 8 Mining Corp. (TSX: HUT and Nasdaq: HUT), Hive Blockchain Technologies Ltd. (TSXV: HIVE), Digihost Technology Inc. (TSXV: DGHI), Core Scientific Inc. (NASDAQ: CORZ); Riot Blockchain, Inc. (NASDAQ: RIOT), Marathon Digital Holdings Inc (NASDAQ: MARA) and MGT Capital Investments Inc. (OTCQB: MGTI). In addition, many other private companies have recently commenced operations..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It is difficult to obtain an accurate estimate of market share. As at the date of the AIF, the hash rate capacity of the Company’s installed facilities represented an estimated 1.3% of the entire Bitcoin network hash-rate, being approximately 200 Exahash. Estimates of the Bitcoin network hash-rate can be retrieved at www.blockchain.com/en/charts/hash-rate. According to internal estimates, management believes that its facilities collectively rank as one of the largest and most cost-effective public cryptocurrency mining operations in North America by installed energy and hash power.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Hardware and Software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main components of the Company’s cryptocurrency mining operation are specialized computers, frequently referred to as “application specific integrated circuit” (“</w:t>
      </w:r>
      <w:r>
        <w:rPr>
          <w:rFonts w:ascii="Arial" w:cs="Arial" w:eastAsia="Arial" w:hAnsi="Arial"/>
          <w:sz w:val="18"/>
          <w:szCs w:val="18"/>
          <w:b w:val="1"/>
          <w:bCs w:val="1"/>
          <w:color w:val="auto"/>
        </w:rPr>
        <w:t>ASIC</w:t>
      </w:r>
      <w:r>
        <w:rPr>
          <w:rFonts w:ascii="Arial" w:cs="Arial" w:eastAsia="Arial" w:hAnsi="Arial"/>
          <w:sz w:val="18"/>
          <w:szCs w:val="18"/>
          <w:color w:val="auto"/>
        </w:rPr>
        <w:t>”) Miners, a power supply unit (“</w:t>
      </w:r>
      <w:r>
        <w:rPr>
          <w:rFonts w:ascii="Arial" w:cs="Arial" w:eastAsia="Arial" w:hAnsi="Arial"/>
          <w:sz w:val="18"/>
          <w:szCs w:val="18"/>
          <w:b w:val="1"/>
          <w:bCs w:val="1"/>
          <w:color w:val="auto"/>
        </w:rPr>
        <w:t>PSU</w:t>
      </w:r>
      <w:r>
        <w:rPr>
          <w:rFonts w:ascii="Arial" w:cs="Arial" w:eastAsia="Arial" w:hAnsi="Arial"/>
          <w:sz w:val="18"/>
          <w:szCs w:val="18"/>
          <w:color w:val="auto"/>
        </w:rPr>
        <w:t>”), network components, security components, electronic components, cooling components and other ancillary hardware.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hardware is composed primarily of: (i) WhatsMiner M20s, M30S, M31s and M31s+ and Bitmain S19js miners, which currently comprise most of the Company’s mining power; and (ii) peripheral computer hardware required to operate the Miners. As the date of this AIF, the Company owns over 50,000 ASIC Miners.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the Company’s currently operating ASIC Miners and those recently secured by purchase order in connection with the expansion plans are primarily manufactured by MicroBT, Bitmain Technologies Inc. and Innosilicon Technology Ltd., each leading suppliers of ASIC Miners for the blockchain and Mining industry. The Miners are typically purchased directly from the manufacturer; however, during periods of elevated demand and pricing conditions, the Company has made purchases through secondary suppliers on occasion.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Software is used to control and to provide management, reporting and security of cryptographic coin mining systems. The Company’s software suite consists of three operating programs: (i) a software program that provides a real-time status report and reports problems in near-real time; (ii) a web interface, management software program that displays various events and alerts by sending short message service (“</w:t>
      </w:r>
      <w:r>
        <w:rPr>
          <w:rFonts w:ascii="Arial" w:cs="Arial" w:eastAsia="Arial" w:hAnsi="Arial"/>
          <w:sz w:val="18"/>
          <w:szCs w:val="18"/>
          <w:b w:val="1"/>
          <w:bCs w:val="1"/>
          <w:color w:val="auto"/>
        </w:rPr>
        <w:t>SMS</w:t>
      </w:r>
      <w:r>
        <w:rPr>
          <w:rFonts w:ascii="Arial" w:cs="Arial" w:eastAsia="Arial" w:hAnsi="Arial"/>
          <w:sz w:val="18"/>
          <w:szCs w:val="18"/>
          <w:color w:val="auto"/>
        </w:rPr>
        <w:t>”) messages or other alert methods; and, (iii) a software program that enables management and supervision of the cooling equipment (efficient cooling is an essential condition for the operation of the server farm). The software can be configured to manage an unlimited number of ASIC components and sites. The software is regularly updated by the Company to incorporate new or upgraded features.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Custody of Crypto Assets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crypto assets, currently Bitcoin, is mined to multi-signature wallets that Backbone controls. On a regular basis, the Company transfers Bitcoin from its multi-signature wallets to an external third-party custodian, Coinbase Trust Company, LLC (“</w:t>
      </w:r>
      <w:r>
        <w:rPr>
          <w:rFonts w:ascii="Arial" w:cs="Arial" w:eastAsia="Arial" w:hAnsi="Arial"/>
          <w:sz w:val="17"/>
          <w:szCs w:val="17"/>
          <w:b w:val="1"/>
          <w:bCs w:val="1"/>
          <w:color w:val="auto"/>
        </w:rPr>
        <w:t>Coinbase Custody</w:t>
      </w:r>
      <w:r>
        <w:rPr>
          <w:rFonts w:ascii="Arial" w:cs="Arial" w:eastAsia="Arial" w:hAnsi="Arial"/>
          <w:sz w:val="17"/>
          <w:szCs w:val="17"/>
          <w:color w:val="auto"/>
        </w:rPr>
        <w:t>"). Coinbase Custody is a US based fiduciary and qualified custodian under New York Banking Law and is licensed by the State of New York to custody digital assets. Currently, Coinbase Custody provides only custodial services to Backbone and does not use a sub-custodian. Coinbase Custody is not a related party to the Company. Coinbase Custody is a fiduciary of § 100 of the New York Banking Law and is licensed to custody its clients’ digital assets in trust on their behalf. Coinbase Custody is a qualified custodian for purposes of § 206 (4) -2(d)(6) of the Advisers Act.</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the date of this AIF, the Company currently holds approximately 5,200 Bitcoin, representing 100% of its cryptocurrency holdings, with Coinbase Custody. Coinbase Custody maintains an insurance policy of $320 million for its cold storage; however, the Company cannot ensure that the limits of this policy would be available to the Company or, if available, sufficient to make the Company whole for any Bitcoins that are lost or stolen. The Company is unaware of: (i) any security breaches involving Coinbase Custody which have resulted in the Company’s crypto assets being lost or stolen, and (ii) anything with regards to Coinbase Custody’s operations that would adversely affect the Company’s ability to obtain an unqualified audit opinion on its audited financial statements. The Bitcoin for which Coinbase Custody provides custodial services to the Company do not change title and remain as assets on the Company’s balance sheet, including in the event that Coinbase Custody were to go bankrupt or become insolvent. The Company also has Bitcoin pledged as collateral for a credit facility with Galaxy Digital. The collateralized Bitcoin are held in a segregated Coinbase Custody account controlled by Galaxy Digital.</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24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Regardless of efforts made by the Company to securely store and safeguard assets, there can be no assurance that crypto assets will not be defalcated through hacking or other forms of theft. See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Properties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continually invests in improvements to its proprietary software. The source code used to operate the farms is owned by Backbone and is in its possession and held in a private account. No patents have been registered on the software and no applications have been made to register or otherwise protect copyrights in the software or its components. The Company also recognized goodwill and a favourable lease term in connection with the acquisition of its facility in Washington state.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of Electrical Power, Electricity Rates, Terms of Service and the Régie de l’Énergie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Province of Quebec</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Currently, Backbone sources its energy from Hydro-Québec for certain of the Company’s facilities, and from Hydro-Magog and Hydro-Sherbrooke for the Magog server farm (one of the Current Facilities) and the Sherbrooke Expansion, respectively. The delivery of power by Hydro-Québec is supplied under an obligation to serve power delivery regime. The power agreements (with respect to the Current Facilities and Additional Server Farms in Quebec) are renewable on a year-to-year basis. Subject to compliance with conditions of service, the agreements are renewed automatically. Modifications to the rates are approved on a yearly basis by a provincial administrative tribunal, the Régie de l’Énergie (the “</w:t>
      </w:r>
      <w:r>
        <w:rPr>
          <w:rFonts w:ascii="Arial" w:cs="Arial" w:eastAsia="Arial" w:hAnsi="Arial"/>
          <w:sz w:val="17"/>
          <w:szCs w:val="17"/>
          <w:b w:val="1"/>
          <w:bCs w:val="1"/>
          <w:color w:val="auto"/>
        </w:rPr>
        <w:t>Régie</w:t>
      </w:r>
      <w:r>
        <w:rPr>
          <w:rFonts w:ascii="Arial" w:cs="Arial" w:eastAsia="Arial" w:hAnsi="Arial"/>
          <w:sz w:val="17"/>
          <w:szCs w:val="17"/>
          <w:color w:val="auto"/>
        </w:rPr>
        <w:t>”), on a tariff class basis such that any adjustment would apply equally to all M tariff users or LG tariff users regardless of end use. See “</w:t>
      </w:r>
      <w:r>
        <w:rPr>
          <w:rFonts w:ascii="Arial" w:cs="Arial" w:eastAsia="Arial" w:hAnsi="Arial"/>
          <w:sz w:val="17"/>
          <w:szCs w:val="17"/>
          <w:i w:val="1"/>
          <w:iCs w:val="1"/>
          <w:color w:val="auto"/>
        </w:rPr>
        <w:t>RISK FACTORS – Economic Dependence on Regulated Terms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Service and Electricity Rates Risks” </w:t>
      </w:r>
      <w:r>
        <w:rPr>
          <w:rFonts w:ascii="Arial" w:cs="Arial" w:eastAsia="Arial" w:hAnsi="Arial"/>
          <w:sz w:val="17"/>
          <w:szCs w:val="17"/>
          <w:color w:val="auto"/>
        </w:rPr>
        <w:t>and “</w:t>
      </w:r>
      <w:r>
        <w:rPr>
          <w:rFonts w:ascii="Arial" w:cs="Arial" w:eastAsia="Arial" w:hAnsi="Arial"/>
          <w:sz w:val="17"/>
          <w:szCs w:val="17"/>
          <w:i w:val="1"/>
          <w:iCs w:val="1"/>
          <w:color w:val="auto"/>
        </w:rPr>
        <w:t>MATERIAL CONTRACTS”.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operations are dependent on its ability to maintain reliable and economical sources of power to run its cryptocurrency mining assets. The Province of Québec mandates electrical service providers to supply their customers under the obligation to serve power delivery regime; consequently, the Company believes these power suppliers are reliable. Any suspension of power or failure of electrical networks, however, could result in a material adverse effect on the Company.</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price of electricity supplied directly by Hydro-Québec is set by the Régie. Electricity supplied by Hydro-Sherbrooke and Hydro-Magog (the “</w:t>
      </w:r>
      <w:r>
        <w:rPr>
          <w:rFonts w:ascii="Arial" w:cs="Arial" w:eastAsia="Arial" w:hAnsi="Arial"/>
          <w:sz w:val="16"/>
          <w:szCs w:val="16"/>
          <w:b w:val="1"/>
          <w:bCs w:val="1"/>
          <w:color w:val="auto"/>
        </w:rPr>
        <w:t>Municipal Electrical Networks</w:t>
      </w:r>
      <w:r>
        <w:rPr>
          <w:rFonts w:ascii="Arial" w:cs="Arial" w:eastAsia="Arial" w:hAnsi="Arial"/>
          <w:sz w:val="16"/>
          <w:szCs w:val="16"/>
          <w:color w:val="auto"/>
        </w:rPr>
        <w:t>”) is predominantly sourced from Hydro-Québec and provided to the Municipal Electrical Networks at a price set by the Régie. The Municipal Electrical Networks in turn supply their customers at prices which they may set. In an effort to encourage investment and development in particular regions, both Hydro-Québec and the Municipal Electrical Networks may offer a discretionary preferential rate (“</w:t>
      </w:r>
      <w:r>
        <w:rPr>
          <w:rFonts w:ascii="Arial" w:cs="Arial" w:eastAsia="Arial" w:hAnsi="Arial"/>
          <w:sz w:val="16"/>
          <w:szCs w:val="16"/>
          <w:b w:val="1"/>
          <w:bCs w:val="1"/>
          <w:color w:val="auto"/>
        </w:rPr>
        <w:t>Preferential</w:t>
      </w:r>
      <w:r>
        <w:rPr>
          <w:rFonts w:ascii="Arial" w:cs="Arial" w:eastAsia="Arial" w:hAnsi="Arial"/>
          <w:sz w:val="16"/>
          <w:szCs w:val="16"/>
          <w:color w:val="auto"/>
        </w:rPr>
        <w:t xml:space="preserve"> </w:t>
      </w:r>
      <w:r>
        <w:rPr>
          <w:rFonts w:ascii="Arial" w:cs="Arial" w:eastAsia="Arial" w:hAnsi="Arial"/>
          <w:sz w:val="16"/>
          <w:szCs w:val="16"/>
          <w:b w:val="1"/>
          <w:bCs w:val="1"/>
          <w:color w:val="auto"/>
        </w:rPr>
        <w:t>Rate</w:t>
      </w:r>
      <w:r>
        <w:rPr>
          <w:rFonts w:ascii="Arial" w:cs="Arial" w:eastAsia="Arial" w:hAnsi="Arial"/>
          <w:sz w:val="16"/>
          <w:szCs w:val="16"/>
          <w:color w:val="auto"/>
        </w:rPr>
        <w:t>”) to certain customers, such rate being lower than the rate set by the Régie, notwithstanding that Hydro-Québec and the Municipal Electric Networks</w:t>
      </w:r>
      <w:r>
        <w:rPr>
          <w:rFonts w:ascii="Arial" w:cs="Arial" w:eastAsia="Arial" w:hAnsi="Arial"/>
          <w:sz w:val="16"/>
          <w:szCs w:val="16"/>
          <w:b w:val="1"/>
          <w:bCs w:val="1"/>
          <w:color w:val="auto"/>
        </w:rPr>
        <w:t xml:space="preserve"> </w:t>
      </w:r>
      <w:r>
        <w:rPr>
          <w:rFonts w:ascii="Arial" w:cs="Arial" w:eastAsia="Arial" w:hAnsi="Arial"/>
          <w:sz w:val="16"/>
          <w:szCs w:val="16"/>
          <w:color w:val="auto"/>
        </w:rPr>
        <w:t>may suffer a financial loss on the supply of electricity to those customers. As of the date of this AIF, Backbone currently enjoys a Preferential Rate at the Farnham and Cowansville server farms, which are Current Facilities. If a Preferential Rate is changed or no longer available to Backbone, the Company’s operations and profitability may experience a material adverse effect. In addition, although power is supplied by the Municipal Networks to Backbone under the long-term power contracts, the rates in those contracts are adjusted in response to tariff changes imposed by the Régie. The cost of electricity to each of Backbone’s facilities is calculated using two key components: (i) a one-time monthly capacity charge based on the maximum capacity of such facility during the month (measured in kW), and (ii) an hourly charge of actual consumption (measured in kWh). The two tariff classes applicable to Backbone’s pre-existing operations at the Current Facilities and Additional Server Farms in Quebec are the M tariff and the LG tariff. The M tariff applies to an annual contract if the maximum power demand is at least 50 kW and has a capacity charge of CAD$14.58 per kW of billing demand, plus a variable component of CAD 5.03¢ per kWh for the first 210,000 kWh, and CAD3.73¢ per kWh for the remaining consumption. LG tariff applies to an annual contract whose minimum billing demand is 5,000 kW or more and has capacity charge of CAD$13.26 per kW of billing demand, plus a single variable component of CAD3.46¢ per kWh. When averaged over all of the Company’s operations and adjustments such as the Preferential Rate at the Farnham and Cowansville server farms are applied, the average rate per kWh paid by the Company was USD$0.04 per kWh as of the date of the AIF.</w:t>
      </w: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color w:val="auto"/>
        </w:rPr>
        <w:t>25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spacing w:after="0" w:line="269" w:lineRule="auto"/>
        <w:rPr>
          <w:sz w:val="20"/>
          <w:szCs w:val="20"/>
          <w:color w:val="auto"/>
        </w:rPr>
      </w:pPr>
      <w:r>
        <w:rPr>
          <w:rFonts w:ascii="Arial" w:cs="Arial" w:eastAsia="Arial" w:hAnsi="Arial"/>
          <w:sz w:val="17"/>
          <w:szCs w:val="17"/>
          <w:color w:val="auto"/>
        </w:rPr>
        <w:t>On June 14, 2018, Hydro-Québec requested the Régie to set rates and service conditions specifically for enterprises involved in cryptocurrency mining as a result of increased electricity demand from cryptocurrency miners. The Company is currently participating in these regulatory proceedings as an intervenor. On July 13, 2018, the Régie provisionally ordered that a new tariff be established for cryptocurrency miners and, on July 19, 2018, the Régie approved a provisional tariff of CAD$0.15/kWh on cryptocurrency mining facilities built after that date. The provisional tariff constituted the first phase (“</w:t>
      </w:r>
      <w:r>
        <w:rPr>
          <w:rFonts w:ascii="Arial" w:cs="Arial" w:eastAsia="Arial" w:hAnsi="Arial"/>
          <w:sz w:val="17"/>
          <w:szCs w:val="17"/>
          <w:b w:val="1"/>
          <w:bCs w:val="1"/>
          <w:color w:val="auto"/>
        </w:rPr>
        <w:t>Phase 1</w:t>
      </w:r>
      <w:r>
        <w:rPr>
          <w:rFonts w:ascii="Arial" w:cs="Arial" w:eastAsia="Arial" w:hAnsi="Arial"/>
          <w:sz w:val="17"/>
          <w:szCs w:val="17"/>
          <w:color w:val="auto"/>
        </w:rPr>
        <w:t>”) of three phases of the Régie’s regulatory proceedings on establishing a framework for the provision of electricity for cryptocurrency mining in Québec. Hydro-Québec supplies electrical power directly to certain of the Company’s facilities under the obligation to serve power delivery regime. Hydro-Québec supplies electrical power directly to the Municipal Networks for the Magog server farm and the Sherbrooke Expansion, and the rates under the applicable long-term power contracts between Backbone and the Municipal Contracts are adjusted in response to tariff changes imposed by the Régie. Under Phase 1, the new tariff cannot be applied to any cryptocurrency contracts entered into prior to June 7, 2018 or facilities constructed prior to July 19, 2018. Therefore, Phase 1 has not had an impact on Backbone’s operations.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29, 2019, the Régie rendered its decision on the second phase (“</w:t>
      </w:r>
      <w:r>
        <w:rPr>
          <w:rFonts w:ascii="Arial" w:cs="Arial" w:eastAsia="Arial" w:hAnsi="Arial"/>
          <w:sz w:val="18"/>
          <w:szCs w:val="18"/>
          <w:b w:val="1"/>
          <w:bCs w:val="1"/>
          <w:color w:val="auto"/>
        </w:rPr>
        <w:t>Phase 2</w:t>
      </w:r>
      <w:r>
        <w:rPr>
          <w:rFonts w:ascii="Arial" w:cs="Arial" w:eastAsia="Arial" w:hAnsi="Arial"/>
          <w:sz w:val="18"/>
          <w:szCs w:val="18"/>
          <w:color w:val="auto"/>
        </w:rPr>
        <w:t xml:space="preserve">”) of the request filed by Hydro-Québec. The Régie decided to create a new class of energy consumers called </w:t>
      </w:r>
      <w:r>
        <w:rPr>
          <w:rFonts w:ascii="Arial" w:cs="Arial" w:eastAsia="Arial" w:hAnsi="Arial"/>
          <w:sz w:val="18"/>
          <w:szCs w:val="18"/>
          <w:i w:val="1"/>
          <w:iCs w:val="1"/>
          <w:color w:val="auto"/>
        </w:rPr>
        <w:t>Electricity consumer class for cryptographic use applied to blockchain</w:t>
      </w:r>
      <w:r>
        <w:rPr>
          <w:rFonts w:ascii="Arial" w:cs="Arial" w:eastAsia="Arial" w:hAnsi="Arial"/>
          <w:sz w:val="18"/>
          <w:szCs w:val="18"/>
          <w:color w:val="auto"/>
        </w:rPr>
        <w:t>. It decided to allocate to this new class an aggregate supply of 300 megawatts of electricity with the requirement to curtail electricity use during peak hours at Hydro-Québec’s request (up to a maximum of 300 hours a year). Cryptocurrency mining projects will be required to submit tenders to consume electricity from the 300 megawatts block based exclusively on economic development and environmental criteria. The Régie rejected Hydro-Québec's proposal to launch a tariff auction as part of the call for tenders and determined that the applicable tariff of the energy component, in ¢/kWh, will correspond to the M or LG tariff in force, as the case may be.</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order for the Company to be able to procure electricity for future Quebec expansion projects (excluding those currently planned by the Company such as the Additional Server Farms), it would have been required to participate in the call for tenders process. However, the Régie’s decision also means that all the Company’s pre-existing operations will remain subject to the M or LG tariff in force, as the case may be, and are exempt from the tender process as well as the provisional tariff of CAD$0.15/kWh which had been requested by Hydro-Québec. The provisional tariff applies to energy consumption not authorized under cryptocurrency contracts, to those cryptocurrency contracts entered into after June 7, 2018 and to any substitution of use or any increase of capacity for crypto miners not already under authorized cryptocurrency contracts.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On January 28, 2021, the Régie rendered its decision on the third phase (“</w:t>
      </w:r>
      <w:r>
        <w:rPr>
          <w:rFonts w:ascii="Arial" w:cs="Arial" w:eastAsia="Arial" w:hAnsi="Arial"/>
          <w:sz w:val="17"/>
          <w:szCs w:val="17"/>
          <w:b w:val="1"/>
          <w:bCs w:val="1"/>
          <w:color w:val="auto"/>
        </w:rPr>
        <w:t>Phase 3</w:t>
      </w:r>
      <w:r>
        <w:rPr>
          <w:rFonts w:ascii="Arial" w:cs="Arial" w:eastAsia="Arial" w:hAnsi="Arial"/>
          <w:sz w:val="17"/>
          <w:szCs w:val="17"/>
          <w:color w:val="auto"/>
        </w:rPr>
        <w:t>”) of the request filed by Hydro-Québec. The Régie decided that the existing subscriptions on the Hydro-Québec network will be subject to non-firm service, starting in Winter 2021-2022. The non-firm service will apply for a maximum of 300 hours/year, without any monetary compensation. In considering the financial consequences of this conclusion the Régie requested that Hydro-Québec implement the non-firm service for existing clients during a three-year period through progressive implementation. The Régie did not provide any guidance to Hydro-Québec on how to proceed. The Régie provided the following reasons to justify this conclusion:</w:t>
      </w:r>
    </w:p>
    <w:p>
      <w:pPr>
        <w:spacing w:after="0" w:line="172" w:lineRule="exact"/>
        <w:rPr>
          <w:sz w:val="20"/>
          <w:szCs w:val="20"/>
          <w:color w:val="auto"/>
        </w:rPr>
      </w:pPr>
    </w:p>
    <w:p>
      <w:pPr>
        <w:ind w:left="660" w:right="2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Existing clients, such as Bitfarms Canada, have already executed agreements with municipal electricity networks with non-firm service (without financial compensation) for at least 300 hours per year;</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clients entering the market through the call for tenders process will be subject to non-firm service, without financial compensation. The treatment of those new clients must be fair and equitable with existing clients; and</w:t>
      </w:r>
    </w:p>
    <w:p>
      <w:pPr>
        <w:ind w:left="660" w:right="20" w:hanging="328"/>
        <w:spacing w:after="0" w:line="26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Load shedding for 300 hours represents only 3.4% of the 8,760 hours in a year. The Régie does not consider this request unreasonable considering the risks that cryptocurrency clients represent for Hydro-Québec.</w:t>
      </w: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color w:val="auto"/>
        </w:rPr>
        <w:t>26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spacing w:after="0" w:line="286" w:lineRule="auto"/>
        <w:rPr>
          <w:sz w:val="20"/>
          <w:szCs w:val="20"/>
          <w:color w:val="auto"/>
        </w:rPr>
      </w:pPr>
      <w:r>
        <w:rPr>
          <w:rFonts w:ascii="Arial" w:cs="Arial" w:eastAsia="Arial" w:hAnsi="Arial"/>
          <w:sz w:val="17"/>
          <w:szCs w:val="17"/>
          <w:color w:val="auto"/>
        </w:rPr>
        <w:t>In accordance with the Phase 3 decision, it is presently anticipated that Bitfarms Canada’s operations will continue on a non-firm service basis for at least 300 hours per year, which will be phased in over three years. Bitfarms Canada has undertaken a challenge to the Phase 3 decision through an administrative review process. See “</w:t>
      </w:r>
      <w:r>
        <w:rPr>
          <w:rFonts w:ascii="Arial" w:cs="Arial" w:eastAsia="Arial" w:hAnsi="Arial"/>
          <w:sz w:val="17"/>
          <w:szCs w:val="17"/>
          <w:i w:val="1"/>
          <w:iCs w:val="1"/>
          <w:color w:val="auto"/>
        </w:rPr>
        <w:t>Risk Factors - Economic Dependence on Regulated Terms of Service and Electricity Rates Risks</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Washington state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November 9, 2021, Backbone Mining completed the acquisition of a cryptocurrency mining facility in Washington state. The facility is powered by the Grant County Power Utility District (“</w:t>
      </w:r>
      <w:r>
        <w:rPr>
          <w:rFonts w:ascii="Arial" w:cs="Arial" w:eastAsia="Arial" w:hAnsi="Arial"/>
          <w:sz w:val="17"/>
          <w:szCs w:val="17"/>
          <w:b w:val="1"/>
          <w:bCs w:val="1"/>
          <w:color w:val="auto"/>
        </w:rPr>
        <w:t>Grant PUD</w:t>
      </w:r>
      <w:r>
        <w:rPr>
          <w:rFonts w:ascii="Arial" w:cs="Arial" w:eastAsia="Arial" w:hAnsi="Arial"/>
          <w:sz w:val="17"/>
          <w:szCs w:val="17"/>
          <w:color w:val="auto"/>
        </w:rPr>
        <w:t>”). Grant PUD was established in 1938 and is a public utility district that owns and operates hydroelectric plants capable of producing more than 2,000 MW of electricity. Grant PUD establishes rate schedules for different categories of customers at the discretion of its publicly-elected Board of Commissioners. The rate schedules that may apply to Backbone Mining could be Schedule 7, which applies to consumption up to 5 MW, Schedule 14, which applies for consumption of 5 MW to 15 MW, or schedule 15, which applies to consumption of greater than 15 MW. Backbone Mining operates its cryptocurrency mining activities in several different buildings with their own power meters. Backbone Mining is currently classified in Schedule 7; however, this may change if Grant PUD were to consider Backbone Mining’s power consumption from all of the meters in aggregate, or if Backbone Mining adjusts its power consumption and falls under a different threshold. The Company expects its rate classification to change to Schedule 14 as it increases its power consumption in connection with its in-process power applications. Effective March 1, 2021, Grant PUD’s commissioners authorized the removal of cryptocurrency mining from the Evolving Industry Classification. The applicable rates that may apply to Backbone Mining are summarized as follows:</w:t>
      </w:r>
    </w:p>
    <w:p>
      <w:pPr>
        <w:spacing w:after="0" w:line="182" w:lineRule="exact"/>
        <w:rPr>
          <w:sz w:val="20"/>
          <w:szCs w:val="20"/>
          <w:color w:val="auto"/>
        </w:rPr>
      </w:pPr>
    </w:p>
    <w:p>
      <w:pPr>
        <w:ind w:left="66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Evolving Industry Classification provides for $30 per kW of billing demand plus a variable component of USD 0.389¢ per KwH of consumption.</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applicable rates for Schedule 7 are a demand charge of $4.96 per kW of billing demand plus a variable component of USD 2.1¢ per kWh for the first 50,000 kWh of consumption and USD 1.857¢ per additional kWh of consumption.</w:t>
      </w: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applicable rates for Schedule 14 are a demand charge of $5.12 per kW of billing demand plus a variable component of USD 2.015¢ per kWh for the first 7,300,000 kWh of consumption and USD 3.250¢ per additional kWh of consumption.</w:t>
      </w:r>
    </w:p>
    <w:p>
      <w:pPr>
        <w:jc w:val="both"/>
        <w:ind w:left="66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applicable rates for Schedule 15 are a demand charge of $5.68 per kW of billing demand plus a variable component of USD 2.552¢ per kWh for the first 10,950,000 kWh of consumption, USD 2.909¢ per kWh from 10,950,001 to 21,900,000 kWh of consumption and USD 3.044¢ per kWh greater than 21,900,000.</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Grant PUD may adjust the rate pricing with approval from its Board of Commissioners. Historically, rates for Schedule 7, Schedule 14 and Schedule 15 have increased by an annual average of 1.27%, 4.97% and 0.57% from 2016-2018, respectively. An increase in the rates applicable to Backbone Mining’s electricity consumption may adversely impact its profitability. See “</w:t>
      </w:r>
      <w:r>
        <w:rPr>
          <w:rFonts w:ascii="Arial" w:cs="Arial" w:eastAsia="Arial" w:hAnsi="Arial"/>
          <w:sz w:val="18"/>
          <w:szCs w:val="18"/>
          <w:i w:val="1"/>
          <w:iCs w:val="1"/>
          <w:color w:val="auto"/>
        </w:rPr>
        <w:t>Risk Factors - Economic Dependence on Regulated Terms of Service and Electricity</w:t>
      </w:r>
      <w:r>
        <w:rPr>
          <w:rFonts w:ascii="Arial" w:cs="Arial" w:eastAsia="Arial" w:hAnsi="Arial"/>
          <w:sz w:val="18"/>
          <w:szCs w:val="18"/>
          <w:color w:val="auto"/>
        </w:rPr>
        <w:t xml:space="preserve"> </w:t>
      </w:r>
      <w:r>
        <w:rPr>
          <w:rFonts w:ascii="Arial" w:cs="Arial" w:eastAsia="Arial" w:hAnsi="Arial"/>
          <w:sz w:val="18"/>
          <w:szCs w:val="18"/>
          <w:i w:val="1"/>
          <w:iCs w:val="1"/>
          <w:color w:val="auto"/>
        </w:rPr>
        <w:t>Rates Risks</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Grant PUD may also interrupt the supply of electrical services to Backbone Mining for curtailment, repairs and improvements to the electrical distribution system, actions taken to conserve energy and other factors.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Paraguay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2021, Backbone Paraguay completed the construction of a 10 MW facility in Paraguay (Villarica). The facility is powered by Compañia de Luz y Fuerza S.A. (“</w:t>
      </w:r>
      <w:r>
        <w:rPr>
          <w:rFonts w:ascii="Arial" w:cs="Arial" w:eastAsia="Arial" w:hAnsi="Arial"/>
          <w:sz w:val="18"/>
          <w:szCs w:val="18"/>
          <w:b w:val="1"/>
          <w:bCs w:val="1"/>
          <w:color w:val="auto"/>
        </w:rPr>
        <w:t>CLYFSA</w:t>
      </w:r>
      <w:r>
        <w:rPr>
          <w:rFonts w:ascii="Arial" w:cs="Arial" w:eastAsia="Arial" w:hAnsi="Arial"/>
          <w:sz w:val="18"/>
          <w:szCs w:val="18"/>
          <w:color w:val="auto"/>
        </w:rPr>
        <w:t>”). CLYFSA is the first private energy distribution company in Paraguay which purchases the energy from ANDE (“Admistraction Nacional de Electricidad”), the operator of Paraguay’s national electricity grid, and provides power to almost 15,000 residential and commercial customers in Villarica.</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27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8"/>
          <w:szCs w:val="18"/>
          <w:color w:val="auto"/>
        </w:rPr>
        <w:t>Backbone Paraguay entered into a power purchase agreement with CLYFSA securing 10 MW of hydro-electric energy with a demand charge of $15.9 per kW of billing demand plus a variable component of USD 1.422¢ per kWh of consumption for the current one-year renewal period. The power purchase agreement stipulates that CLYFSA can pass on any modifications to pricing by ANDE to Backbone Paraguay. See “</w:t>
      </w:r>
      <w:r>
        <w:rPr>
          <w:rFonts w:ascii="Arial" w:cs="Arial" w:eastAsia="Arial" w:hAnsi="Arial"/>
          <w:sz w:val="18"/>
          <w:szCs w:val="18"/>
          <w:i w:val="1"/>
          <w:iCs w:val="1"/>
          <w:color w:val="auto"/>
        </w:rPr>
        <w:t>Risk Factors - Economic Dependence</w:t>
      </w:r>
      <w:r>
        <w:rPr>
          <w:rFonts w:ascii="Arial" w:cs="Arial" w:eastAsia="Arial" w:hAnsi="Arial"/>
          <w:sz w:val="18"/>
          <w:szCs w:val="18"/>
          <w:color w:val="auto"/>
        </w:rPr>
        <w:t xml:space="preserve"> </w:t>
      </w:r>
      <w:r>
        <w:rPr>
          <w:rFonts w:ascii="Arial" w:cs="Arial" w:eastAsia="Arial" w:hAnsi="Arial"/>
          <w:sz w:val="18"/>
          <w:szCs w:val="18"/>
          <w:i w:val="1"/>
          <w:iCs w:val="1"/>
          <w:color w:val="auto"/>
        </w:rPr>
        <w:t>on Regulated Terms of Service and Electricity Rates Risks</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Argentina</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2021, Backbone Argentina entered engineering, procurement and construction contracts and commenced construction of an up to 210 MW facility in Argentina (Rio Cuarto – Cordoba). The facility will be powered by Generacion Mediterranea S.A. (“</w:t>
      </w:r>
      <w:r>
        <w:rPr>
          <w:rFonts w:ascii="Arial" w:cs="Arial" w:eastAsia="Arial" w:hAnsi="Arial"/>
          <w:sz w:val="16"/>
          <w:szCs w:val="16"/>
          <w:b w:val="1"/>
          <w:bCs w:val="1"/>
          <w:color w:val="auto"/>
        </w:rPr>
        <w:t>GMSA</w:t>
      </w:r>
      <w:r>
        <w:rPr>
          <w:rFonts w:ascii="Arial" w:cs="Arial" w:eastAsia="Arial" w:hAnsi="Arial"/>
          <w:sz w:val="16"/>
          <w:szCs w:val="16"/>
          <w:color w:val="auto"/>
        </w:rPr>
        <w:t>”) one of the subsidiaries of Grupo Albanesi. Grupo Albanesi is an Argentine private corporate group focused on the energy market which provides natural gas and electrical energy to its clients.</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Backbone Argentina entered into an eight-year power purchase agreement with GMSA securing up to 210 MW of natural gas-powered energy. This agreement establishes that GMSA will supply the Company with power at a rate of $0.02 per kilowatt hour, inclusive of applicable VAT, up to a maximum amount of 1,103,760 megawatt hours per year. The annual maximum megawatt hours the Company can draw at $0.02 per kilowatt hour is subject to pro-rata adjustments based on the Company’s actual power draw relative to the total 210 MW. The agreement also provides for GMSA to renegotiate the $0.02 per kilowatt hour rate if the ratio of the exchange under the blue-chip swap mechanism used in Argentina to the official exchange rate is less than 1.50. The $0.02 per kilowatt hour rate and applicable adjustments described above are in effect for four years, and any consumption in excess of the maximum amount of 1,103,760 megawatt hours, or any pro-rata adjustments thereto, is subject to negotiation between the Company and GMSA. After the first four years a formula will be used to determine the power rate applicable to the Company’s consumption, mainly based on changes in gas costs and currency exchange rates.</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 increase in the Company’s electricity costs, cost of natural gas, changes in currency exchange rates in Argentina or regulatory changes in the energy regimes in the jurisdictions in which the Company operates may adversely impact the Company’s profitability, the costs of construction and engineering services. See “</w:t>
      </w:r>
      <w:r>
        <w:rPr>
          <w:rFonts w:ascii="Arial" w:cs="Arial" w:eastAsia="Arial" w:hAnsi="Arial"/>
          <w:sz w:val="17"/>
          <w:szCs w:val="17"/>
          <w:i w:val="1"/>
          <w:iCs w:val="1"/>
          <w:color w:val="auto"/>
        </w:rPr>
        <w:t>Risk Factors - Economic Dependence on Regulated Terms of Service and Electricity Rates Risks</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AIF, the Company and its subsidiaries have 106 employees. The following table sets out the employees by department: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Number of</w:t>
            </w:r>
          </w:p>
        </w:tc>
      </w:tr>
      <w:tr>
        <w:trPr>
          <w:trHeight w:val="241"/>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Department</w:t>
            </w: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Employees</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IT &amp; Infrastructure</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Operations – Site &amp; Project Managers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Operations – Technicians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Business Development, Finance, Administration and Public Relations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Sub-Total</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71</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Volta</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Policies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Current Facilities use renewable, clean energy provided by Hydro-Québec, Hydro-Sherbrooke, Hydro-Magog, Grant County Public Utility District and Compañía de Luz y Fuerza Sociedad Anónima. To the best of the Company’s knowledge, the Company will not incur significant costs or investments in order to comply with provisions relating to environmental protection on its current facilities, besides maintaining the procedures currently applied by it, and the sound reduction charges currently underway in Sherbooke. The Company’s facility described in the Argentina Expansion section of this AIF will use natural gas. The Company is currently undertaking environmental studies to determine whether it will require additional investment to comply with provisions relating to environmental protection.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28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Bankruptcy Proceedings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bankruptcies, receiverships, or similar proceedings against Bitfarms Canada, Bitfarms Israel or Backbone or their respective subsidiaries, whether voluntary or otherwise, since incorporation and, to the knowledge of management, there are no such contingent or threatened proceedings.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An investment in Bitfarms Shares should be considered highly speculative due to the nature of Bitfarms Canada’s business and the present stage of development. Where applicable, references in this section to Bitfarms Canada include Backbone and vice versa. An investment in Bitfarms Shares should only be made by knowledgeable and sophisticated investors who are willing to risk and can afford the loss of their entire investment. Potential investors should consult with their professional advisors to assess an investment in Bitfarms Canada. In evaluating Bitfarms Canada and its business as well as an investment in Bitfarms Shares, investors should carefully consider, in addition to other information contained in this AIF, the risk factors below.</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is a summary only of certain risk factors and is qualified in its entirety by reference to, and should be read in conjunction with the detailed information appearing elsewhere in this AIF, as well as the Company’s other continuous disclosure documents including the MD&amp;A and press releases of the Company (such documents are available under the Company’s SEDAR profile at www.sedar.com). These risks and uncertainties are not the only ones Bitfarms Canada is facing. Additional risk and uncertainties not presently known to Bitfarms Canada, or that Bitfarms Canada currently deems immaterial, may also impair its operations. If any such risks actually occur, the business, financial condition, liquidity and results of operations could be materially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Cryptocurrency Risks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Limited History of De-Centralized Financial System</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use of cryptocurrencies to, among other things, buy and sell goods and services and complete transactions, is part of a new and rapidly evolving industry that employs Bitcoin assets based upon a computer-generated mathematical and/or cryptographic protocol. Compared with traditional and existing centralized financial systems, the cryptocurrency financial system is relatively new and has only a limited history. Online cryptocurrency exchanges and trades therein operate with comparatively little regulation and are particularly liable to platform failures and fraudulent activities, which may have an effect on underlying prices of cryptocurrencies. In fact, many of the largest online cryptocurrency exchanges have been compromised by hackers. Large-scale acceptance of cryptocurrencies as a means of payment has not, and may never, occur. The growth of this industry in general, and the use of Bitcoin, in particular, is subject to a high degree of uncertainty, and the slowing or stopping of the development or acceptance of developing protocols may occur unpredictably. The factors include, but are not limited to:</w:t>
      </w:r>
    </w:p>
    <w:p>
      <w:pPr>
        <w:spacing w:after="0" w:line="17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continued worldwide growth in the adoption and use of cryptocurrencies as a medium of exchange;</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governmental and quasi-governmental regulation of cryptocurrencies and their use, or restrictions on or regulation of access to and operation of the network or similar Bitcoin systems;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consumer demographics and public tastes and preferences;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maintenance and development of the open-source software protocol of the network;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increased consolidation of contributors to the Bitcoin blockchain through mining pools;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availability and popularity of other forms or methods of buying and selling goods and services, including new means of using fiat currencies;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29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use of the networks supporting cryptocurrencies for developing smart contracts and distributed applications;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and the regulatory environment relating to cryptocurrencies;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consumer sentiment and perception of Bitcoin specifically and cryptocurrencies generally.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Traditional banks and banking services may limit or refuse the provision of banking services to businesses that supply cryptographic tokens or cryptocurrencies as payment and may refuse to accept money derived from cryptocurrency-related businesses. This may make management of bank accounts held by companies operating in the industry, including the Company, difficult.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Valuation and Price Volatility of Cryptocurrencies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profitability of the Company’s operations will be significantly affected by changes in prices of cryptocurrencies. Cryptocurrency prices are highly volatile, can fluctuate substantially and are affected by numerous factors beyond the Company’s control, including hacking, demand, inflation and expectations with respect to the rate of inflation, global or regional political or economic events and the introduction of new regulation into the cryptocurrency industry. If cryptocurrency prices should decline and remain at low market levels for a sustained period while network difficulty does not decrease proportionally, the Company could determine that it is not economically feasible to continue activities.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Cryptocurrencies may be subject to momentum pricing, which is typically associated with growth stocks and other assets whose valuation, as determined by the investing public, accounts for anticipated future appreciation in value. Cryptocurrency market prices are determined primarily using data from various exchanges, over-the-counter markets, and derivative platforms. Momentum pricing may have resulted, and may continue to result, in speculation regarding future appreciation in the value of cryptocurrencies, inflating and making their market prices more volatile. As a result, they may be more likely to fluctuate in value due to changing investor confidence in future appreciation (or depreciation) in their market prices, which could adversely affect the value proposition of Bitfarms Canada.</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Volatility may have an impact on the value of the Company’s cryptocurrency balances. In January 2021, the Company adopted a strategy of holding in custody substantially all of its cryptocurrency generated from operations in place of the prior practice of regularly liquidating its cryptocurrency holdings for fiat currency. In December 2021, the Company entered into a secured revolving credit facility secured by the Company’s Bitcoin. The facility requires the Bitcoin collateral to be equal to 143% of the amount borrowed. A significant decline in the value of cryptocurrencies and, in turn, the Company’s inventory of cryptocurrency, would limit the ability of the Company to meet its minimum credit facility collateral requirements, which, in turn could result in the lender requiring additional Bitcoin as collateral, liquidating the Company’s Bitcoin or repayment of the facility in fiat currency on demand. A significant decline in the value of the Company’s inventory of cryptocurrency would also limit the magnitude of the proceeds the Company could generate from liquidating its inventory to meet the financing needs associated with its ongoing operations and growth targets.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Bitcoin Halving Events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In May 2020, the Bitcoin Block Reward decreased from 12.5 to 6.25 Bitcoins per block (the </w:t>
      </w:r>
      <w:r>
        <w:rPr>
          <w:rFonts w:ascii="Arial" w:cs="Arial" w:eastAsia="Arial" w:hAnsi="Arial"/>
          <w:sz w:val="18"/>
          <w:szCs w:val="18"/>
          <w:b w:val="1"/>
          <w:bCs w:val="1"/>
          <w:color w:val="auto"/>
        </w:rPr>
        <w:t>“Bitcoin Halving</w:t>
      </w:r>
      <w:r>
        <w:rPr>
          <w:rFonts w:ascii="Arial" w:cs="Arial" w:eastAsia="Arial" w:hAnsi="Arial"/>
          <w:sz w:val="18"/>
          <w:szCs w:val="18"/>
          <w:color w:val="auto"/>
        </w:rPr>
        <w:t>”), and consequently, the number of new Bitcoin issued to miners has been reduced to approximately 900 per day, excluding transaction fees.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May 2020 Bitcoin Halving had a significant negative impact on the Company’s profitability for several months following the Bitcoin Halving. Given that profitability is required for self-acting agents to perform Mining to continue to support the validation of transactions, the expected impact of the Bitcoin Halving is that market variables of Bitcoin price will adjust over time to ensure that Mining remains viable. The period of market normalization after the next Bitcoin Halving to incentivizing profitability levels is unknown.</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believes that revenue per Terahash will continue to normalize to levels that would allow Miners with competitive electricity pricing, sufficient scale of efficient Mining operations, recent generation Mining hardware, complete management teams and access to capital to remain profitable. If Bitcoin price and mining difficulty do not maintain or continue their trend of adjusting to pre-Bitcoin Halving profitability levels over time, or the period of market normalization after the Bitcoin Halving to pre-Bitcoin Halving profitability levels is too long, there is a risk that the Bitcoin Halving will render the Company unprofitable for a sustained time period such that it could be unable to continue as a going concern.</w:t>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color w:val="auto"/>
        </w:rPr>
        <w:t>30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The next Bitcoin Halving is expected to occur on or around May 2024.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Transaction Fees and Demand for Bitcoin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Currently, miners receive both rewards of new Bitcoin and transaction fees paid in Bitcoin by persons engaging in Bitcoin transactions on the Bitcoin blockchain for being the first to solve Bitcoin blocks. As the number of Bitcoins awarded for solving a block in a blockchain decreases through the halving events described above, the incentive for miners to continue to contribute to the Bitcoin network may transition from a set reward and transaction fees to solely transaction fees. This transition could be accomplished by miners independently electing to record in the blocks they solve only those transactions that include payment of the highest transaction fees. If transaction fees paid for Bitcoin transactions become too high, the marketplace may be reluctant to accept Bitcoin as a means of payment, and existing users may be motivated to switch from Bitcoin to another cryptocurrency or to fiat currency. Either the requirement from miners of higher transaction fees in exchange for recording transactions in a blockchain or a software upgrade that automatically charges fees for all transactions may decrease demand for Bitcoin and prevent the expansion of the Bitcoin network to retail merchants and commercial businesses, resulting in a reduction in the price of Bitcoin. Decreased use of and demand for Bitcoin may adversely affect its value and result in a reduction in the price of Bitcoin and, consequently, the value of the Company’s common shares.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decentralized nature of the governance of Bitcoin systems may lead to ineffective decision making that slows development or prevents a network from overcoming emergent obstacles. Governance of many Bitcoin systems is by voluntary consensus and open competition with no clear leadership structure or authority. To the extent lack of clarity in corporate governance of Bitcoin systems leads to ineffective decision making that slows development and growth of such cryptocurrencies, the value of the Company’s common shares may be adversely affected.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Cryptocurrency Network Difficulty and Impact of Increased Global Computing Power</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Network difficulty is a measure of how difficult it is to solve the cryptographic hash that is required to validate a block of transactions and earn a cryptocurrency reward from Mining. If the network difficulty increased at a significantly higher rate than the Company’s hashrate and the price of cryptocurrency did not increase at the same rate as network difficulty, then the Company’s market share and proportionate achievement of earning Block Rewards, and in turn the profitability of the Company’s operations would be significantly affected. There can be no assurance that cryptocurrency prices will increase in proportion to the rate of increase of network difficulty as network difficulty is subject to volatility in growth.</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Irreversible Nature of Incorrect or Fraudulent Bitcoin Transactions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Bitcoin transactions are irrevocable, and stolen or incorrectly transferred cryptocurrencies may be irretrievable. As a result, any incorrectly executed or fraudulent Bitcoin transactions could adversely affect the Company’s investments and assets.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Bitcoin transactions are not, from an administrative perspective, reversible without the consent and active participation of the recipient of the cryptocurrencies in the transaction. Once a transaction has been verified and recorded in a block that is added to a blockchain, an incorrect transfer of a Bitcoin or a theft thereof generally will not be reversible, and the Company may not have sufficient recourse to recover its losses from any such transfer or theft. It is possible that, through computer or human error, or through theft or criminal action, the Company’s Bitcoin rewards could be transferred in incorrect amounts or to unauthorized third parties, or to uncontrolled accounts. To the extent that the Company is unable to recover its losses from such action, error or theft, such events could have a material adverse effect on the Company’s business, prospects or operations of and potentially the value of any Bitcoin or other cryptocurrencies the Company mines or otherwise acquire or hold for the Company’s account.</w:t>
      </w: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color w:val="auto"/>
        </w:rPr>
        <w:t>31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i w:val="1"/>
          <w:iCs w:val="1"/>
          <w:color w:val="auto"/>
        </w:rPr>
        <w:t>Exposure to Fraud and Failure of Cryptocurrency Exchanges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Cryptocurrency Exchanges and other trading venues are relatively new and, in most cases, largely unregulated and may therefore be more exposed to fraud and failure. To the extent that cryptocurrency exchanges or other trading venues are involved in fraud or experience security failures or other operational issues, this could result in a reduction in cryptocurrency prices.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Cryptocurrency market prices depend, directly or indirectly, on the prices set on exchanges and other trading venues, which are new and, in most cases, largely unregulated as compared to established, regulated exchanges for securities, derivatives and other currencies. In the past four years, a number of cryptocurrency exchanges have been closed due to fraud, business failure or security breaches. In many of these instances, the customers of the closed exchanges were not compensated or made whole for the partial or complete losses of their account balances in such exchanges. While smaller exchanges are less likely to have the infrastructure and capitalization that provide larger exchanges with additional stability, larger exchanges may be more likely to be appealing targets for hackers and “malware” (i.e., software used or programmed by attackers to disrupt computer operation, gather sensitive information or gain access to private computer systems) and may be more likely to be targets of regulatory enforcement action.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Erroneous Transactions and Human Error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Cryptocurrency transactions are irreversible. Improper or compromised transfers will generally be irreversible and irrevocable. Such errors may be the result of computer or human error despite internal controls the Company has adopted to mitigate this risk. To the extent that the Company is unable to seek a corrective transaction with the third party or is incapable of identifying the third party that has received the Company’s cryptocurrencies through error or theft, the Company will be unable to revert or otherwise recover incorrectly transferred cryptocurrencies. The Company will also be unable to convert or recover cryptocurrencies transferred to uncontrolled accounts.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further development and acceptance of the cryptographic and algorithmic protocols governing the issuance of and transactions in cryptocurrencies is subject to a variety of factors that are difficult to evaluate.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Facility Developments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continued and successful development of existing and planned facilities is subject to various risks and may be delayed or adversely affected by such factors beyond the Company’s control, including delays in the delivery or installation of equipment by suppliers, difficulties in integrating new equipment into existing infrastructure, shortages in materials or labour, defects in design or construction, diversion of management resources, insufficient funding, prolonged power and internet outages or other resource or capacity constraints. Actual costs for development may exceed the Company’s planned budget and foreign exchange fluctuations can cause material changes in expected costs. Delays, cost overruns, changes in market circumstances and other factors may result in different outcomes than those intended, including the potential that such factors cause the Company’s facilities to not be as profitable as anticipated or at all.</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Uncertain Acceptance and/or Widespread use of Cryptocurrency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Currently, cryptocurrencies are used relatively rarely in the retail and commercial marketplaces in comparison to purchases of overall cryptocurrencies worldwide. Cryptocurrency payment methods have not been widely adopted as a means of a payment for goods and services by major retail and commercial outlets. A significant portion of cryptocurrency demand may be attributable to speculation.</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failure of retail and commercial marketplaces to adopt cryptocurrency payment methods may result in increased volatility of and/or a reduction in market prices for Bitcoin, either of which may adversely impact the Company’s operations and profitability.</w:t>
      </w: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32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Company Cryptocurrency Risks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Exposure of Cryptocurrency Inventory to Cybersecurity Threats and Hacking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Malicious actors may seek to exploit vulnerabilities within cryptocurrency programming codes such as by attacking the Bitcoin network source code, exchanges, miners, third-party platforms, cold and hot storage locations or software, or by other means. Several errors and defects have been found and corrected, including those that disabled some functionality for users and exposed users’ information. Discovery of flaws in or exploitations of the source code that allow malicious actors to take or create money occur somewhat regularly. For example, hackers have been able to gain unauthorized access to digital wallets and cryptocurrency exchanges or custody platforms which means that there is a risk that some of all of the Company’s cryptocurrency could be lost or stolen.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computer network operated by Bitfarms Canada may further be vulnerable to intrusions by hackers who could interfere with and introduce defects to the mining operation. Private keys which enable holders to transfer funds may also be lost or stolen, resulting in irreversible losses of cryptocurrencies. Any such impact on our private keys could have a material adverse effect on our business, prospects or operations and potentially the value of any Bitcoin or other cryptocurrencies we mine or otherwise acquire or hold for our own account.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uses third party custodians for its cryptocurrency assets. In the event of theft or a cybersecurity attack on its custodians in respect of which the custodians’ insurance is insufficient to satisfy all of its creditors, the Company may not be able to recover part or all of the cryptocurrency under the custody of such custodians, which in each case could result in a material adverse effect on the Company. See “</w:t>
      </w:r>
      <w:r>
        <w:rPr>
          <w:rFonts w:ascii="Arial" w:cs="Arial" w:eastAsia="Arial" w:hAnsi="Arial"/>
          <w:sz w:val="18"/>
          <w:szCs w:val="18"/>
          <w:i w:val="1"/>
          <w:iCs w:val="1"/>
          <w:color w:val="auto"/>
        </w:rPr>
        <w:t>DESCRIPTION OF THE</w:t>
      </w:r>
      <w:r>
        <w:rPr>
          <w:rFonts w:ascii="Arial" w:cs="Arial" w:eastAsia="Arial" w:hAnsi="Arial"/>
          <w:sz w:val="18"/>
          <w:szCs w:val="18"/>
          <w:color w:val="auto"/>
        </w:rPr>
        <w:t xml:space="preserve"> </w:t>
      </w:r>
      <w:r>
        <w:rPr>
          <w:rFonts w:ascii="Arial" w:cs="Arial" w:eastAsia="Arial" w:hAnsi="Arial"/>
          <w:sz w:val="18"/>
          <w:szCs w:val="18"/>
          <w:i w:val="1"/>
          <w:iCs w:val="1"/>
          <w:color w:val="auto"/>
        </w:rPr>
        <w:t>COMPANY – Custody of Crypto Assets</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Possibility of Less Frequent or Cessation of Monetization of Cryptocurrencies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early January 2021, the Company announced that it had implemented a strategy pursuant to which the Company would begin retaining most of the Bitcoin it mines. As of the date of this AIF, the Company had retained from its mining operations approximately 96% of all Bitcoin during the period. While the Company has implemented internal controls and custody arrangements to minimize the risk of loss or theft, ceasing immediate monetization of cryptocurrencies or monetizing cryptocurrencies less frequently can increase the risk of cryptocurrencies held decreasing in value and the risk of loss or theft of cryptocurrencies.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Technological Obsolescence and Difficulty in Obtaining Hardware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remain competitive, Bitfarms Canada will continue to monitor the state of the technology available and invest in hardware and equipment required for maintaining Bitfarms Canada’s operations. Bitfarms Canada’s hardware and software may become obsolete and require substantial capital to replace. There can be no assurance that mining hardware will be readily available when the need is identified.</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Moreover, there can be no assurance that new and unforeseeable technology, either hardware-based or software-based, will not disrupt the existing cryptocurrency industry. For example, the arrival of quantum computers, which are capable of solving certain types of mathematical problems fundamental to cryptocurrency more quickly and efficiently than traditional computers, may have a significant effect on the cryptocurrency industry.</w:t>
      </w: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color w:val="auto"/>
        </w:rPr>
        <w:t>33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i w:val="1"/>
          <w:iCs w:val="1"/>
          <w:color w:val="auto"/>
        </w:rPr>
        <w:t>Economic Dependence on Regulated Terms of Service and Electricity Rates Risks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Company’s operations are dependent on its ability to maintain reliable and economical sources of power to run its cryptocurrency mining assets. The Company currently conducts its Mining operations in the Province of Québec, Washington state and Paraguay and plans to develop Mining operations in Argentina. The Company’s current and future operations, anticipated growth, and sustainability of electricity at economical prices for the purposes of cryptocurrency mining in the locations where the Company conducts operations and intends to conduct operations poses certain risks. These risks as well as the supply of electrical power, electricity rates, terms of service and regulatory regime are described in “DESCRIPTION OF BUSINESS </w:t>
      </w:r>
      <w:r>
        <w:rPr>
          <w:rFonts w:ascii="Arial" w:cs="Arial" w:eastAsia="Arial" w:hAnsi="Arial"/>
          <w:sz w:val="17"/>
          <w:szCs w:val="17"/>
          <w:i w:val="1"/>
          <w:iCs w:val="1"/>
          <w:color w:val="auto"/>
        </w:rPr>
        <w:t>–Supply of</w:t>
      </w:r>
      <w:r>
        <w:rPr>
          <w:rFonts w:ascii="Arial" w:cs="Arial" w:eastAsia="Arial" w:hAnsi="Arial"/>
          <w:sz w:val="17"/>
          <w:szCs w:val="17"/>
          <w:color w:val="auto"/>
        </w:rPr>
        <w:t xml:space="preserve"> </w:t>
      </w:r>
      <w:r>
        <w:rPr>
          <w:rFonts w:ascii="Arial" w:cs="Arial" w:eastAsia="Arial" w:hAnsi="Arial"/>
          <w:sz w:val="17"/>
          <w:szCs w:val="17"/>
          <w:i w:val="1"/>
          <w:iCs w:val="1"/>
          <w:color w:val="auto"/>
        </w:rPr>
        <w:t>Electrical Power, Electricity Rates, Terms of Service and the Régie de l’Énergie</w:t>
      </w:r>
      <w:r>
        <w:rPr>
          <w:rFonts w:ascii="Arial" w:cs="Arial" w:eastAsia="Arial" w:hAnsi="Arial"/>
          <w:sz w:val="17"/>
          <w:szCs w:val="17"/>
          <w:color w:val="auto"/>
        </w:rPr>
        <w:t>”. These risks may be summarized as follows:</w:t>
      </w:r>
    </w:p>
    <w:p>
      <w:pPr>
        <w:spacing w:after="0" w:line="178" w:lineRule="exact"/>
        <w:rPr>
          <w:sz w:val="20"/>
          <w:szCs w:val="20"/>
          <w:color w:val="auto"/>
        </w:rPr>
      </w:pPr>
    </w:p>
    <w:p>
      <w:pPr>
        <w:jc w:val="both"/>
        <w:ind w:left="660" w:hanging="328"/>
        <w:spacing w:after="0" w:line="25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Currently the Company sources its energy from Hydro-Québec, Hydro-Sherbrooke and Hydro-Magog, Grant PUD and CLYFSA and anticipates sourcing energy from GMSA. The Province of Québec mandates electrical service providers to supply their customers under an obligation to serve power delivery regime; consequently, the Company believes these power suppliers are reliable. Grant PUD, CLYFSA and GMSA do not operate under highly regulated regimes, like the Province of Quebec. Any suspension of power or failure of electrical networks, however, could result in a material adverse effect on the Company.</w:t>
      </w:r>
    </w:p>
    <w:p>
      <w:pPr>
        <w:spacing w:after="0" w:line="3" w:lineRule="exact"/>
        <w:rPr>
          <w:rFonts w:ascii="Arial" w:cs="Arial" w:eastAsia="Arial" w:hAnsi="Arial"/>
          <w:sz w:val="18"/>
          <w:szCs w:val="18"/>
          <w:color w:val="auto"/>
        </w:rPr>
      </w:pPr>
    </w:p>
    <w:p>
      <w:pPr>
        <w:jc w:val="both"/>
        <w:ind w:left="660" w:hanging="328"/>
        <w:spacing w:after="0" w:line="287"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price of electricity supplied directly by Hydro-Québec is set by a provincial administrative tribunal, the Régie. Hydro-Québec supplies power to certain of the Company’s facilities, and to the Municipal Electrical Networks for the Magog and Sherbrooke server farms, under an obligation to serve power delivery regime. The rates imposed on Hydro-Québec by the Régie are subject to change. There are no long-term arrangements. Although power is supplied by the Municipal Networks to the Company under the long-term power contracts, the rates in those contracts are adjusted in response to tariff changes imposed by the Régie. Accordingly, there is no assurance that future electricity rates will remain stable or economical. In particular, on June 14, 2018, Hydro-Québec requested the Régie to set rates and service conditions specifically for enterprises involved in cryptocurrency mining as a result of increased electricity demand from cryptocurrency miners. The Régie has undertaken regulatory proceedings to establish a framework for the provision of electricity for cryptocurrency mining in Québec in three Phases:</w:t>
      </w:r>
    </w:p>
    <w:p>
      <w:pPr>
        <w:spacing w:after="0" w:line="169" w:lineRule="exact"/>
        <w:rPr>
          <w:rFonts w:ascii="Arial" w:cs="Arial" w:eastAsia="Arial" w:hAnsi="Arial"/>
          <w:sz w:val="16"/>
          <w:szCs w:val="16"/>
          <w:color w:val="auto"/>
        </w:rPr>
      </w:pPr>
    </w:p>
    <w:p>
      <w:pPr>
        <w:ind w:left="1300" w:hanging="648"/>
        <w:spacing w:after="0" w:line="257" w:lineRule="auto"/>
        <w:rPr>
          <w:rFonts w:ascii="Arial" w:cs="Arial" w:eastAsia="Arial" w:hAnsi="Arial"/>
          <w:sz w:val="16"/>
          <w:szCs w:val="16"/>
          <w:color w:val="auto"/>
        </w:rPr>
      </w:pPr>
      <w:r>
        <w:rPr>
          <w:rFonts w:ascii="Arial" w:cs="Arial" w:eastAsia="Arial" w:hAnsi="Arial"/>
          <w:sz w:val="18"/>
          <w:szCs w:val="18"/>
          <w:color w:val="auto"/>
        </w:rPr>
        <w:t>Phase 1: On July 13, 2018, the Régie provisionally ordered that a new tariff be established for cryptocurrency miners and on July 19, 2018, the Régie approved a provisional tariff of CAD$0.15/kWh on cryptocurrency mining facilities built after that date. Under Phase 1, the new tariff cannot be applied to any cryptocurrency contracts entered into prior to June 7, 2018 or facilities constructed prior to July 19, 2018. Therefore, Phase 1 is not expected to have an impact on Backbone’s pre-existing operations and secures existing rates until the completion of Phase 3.</w:t>
      </w:r>
    </w:p>
    <w:p>
      <w:pPr>
        <w:spacing w:after="0" w:line="187" w:lineRule="exact"/>
        <w:rPr>
          <w:rFonts w:ascii="Arial" w:cs="Arial" w:eastAsia="Arial" w:hAnsi="Arial"/>
          <w:sz w:val="16"/>
          <w:szCs w:val="16"/>
          <w:color w:val="auto"/>
        </w:rPr>
      </w:pPr>
    </w:p>
    <w:p>
      <w:pPr>
        <w:ind w:left="1300" w:hanging="648"/>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Phase 2: On April 29, 2019, the Régie rendered its decision on Phase 2 of the request filed by Hydro-Québec. The Régie decided to create a new class of energy consumers called </w:t>
      </w:r>
      <w:r>
        <w:rPr>
          <w:rFonts w:ascii="Arial" w:cs="Arial" w:eastAsia="Arial" w:hAnsi="Arial"/>
          <w:sz w:val="16"/>
          <w:szCs w:val="16"/>
          <w:i w:val="1"/>
          <w:iCs w:val="1"/>
          <w:color w:val="auto"/>
        </w:rPr>
        <w:t>Electricity consumer class for cryptographic use applied to blockchain</w:t>
      </w:r>
      <w:r>
        <w:rPr>
          <w:rFonts w:ascii="Arial" w:cs="Arial" w:eastAsia="Arial" w:hAnsi="Arial"/>
          <w:sz w:val="16"/>
          <w:szCs w:val="16"/>
          <w:color w:val="auto"/>
        </w:rPr>
        <w:t>. It decided to allocate to this new class an aggregate supply of 300 megawatts of electricity, with the requirement to curtail electricity use during peak hours at Hydro-Québec’s request (up to a maximum of 300 hours a year). Cryptocurrency mining projects will be required to submit tenders to consume electricity from the 300 megawatts block based exclusively on economic development and environmental criteria. The Régie rejected Hydro-Québec's proposal to launch a tariff auction as part of the call for tenders and determined that the applicable tariff of the energy component, in ¢/kWh, will correspond to the M or LG tariff in force, as the case may be. In order for the Company to be able to procure electricity for future Quebec expansion projects (excluding those currently planned by the Company such as the Additional Server Farms), it will be required to participate to the call for tenders process which is expected to launch shortly by Hydro-Québec. However, the Régie’s decision also means that the Company’s pre-existing operations at the Current Facilities and Additional Server Farms in Quebec will remain subject to the M or LG tariff in force, as the case may be, and they are exempt from the tender process as well as the provisional tariff of CAD$0.15/kWh which had been requested by Hydro-Québec. The provisional tariff will apply to energy consumption not authorized under cryptocurrency contracts, to those cryptocurrency contracts entered into after June 7, 2018 and to any substitution of use or any increase of capacity for cryptocurrency miners not already under authorized cryptocurrency contracts. The decision of the Régie does impose the potential requirement to curtail electricity use (of up to 95%) during peak hours at Hydro-Québec’s request (up to a maximum of 300 hours a year) under all cryptocurrency contracts including those at our pre-existing operations at the Current Facilities and Additional Server Farms in Quebec. A shut down of 95% of operations for the maximum of 300 hours could result in a revenue decrease of approximately 3.3%.</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color w:val="auto"/>
        </w:rPr>
        <w:t>34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ind w:left="1300" w:hanging="647"/>
        <w:spacing w:after="0" w:line="255" w:lineRule="auto"/>
        <w:rPr>
          <w:sz w:val="20"/>
          <w:szCs w:val="20"/>
          <w:color w:val="auto"/>
        </w:rPr>
      </w:pPr>
      <w:r>
        <w:rPr>
          <w:rFonts w:ascii="Arial" w:cs="Arial" w:eastAsia="Arial" w:hAnsi="Arial"/>
          <w:sz w:val="18"/>
          <w:szCs w:val="18"/>
          <w:color w:val="auto"/>
        </w:rPr>
        <w:t>Phase 3: On January 28, 2021, the Régie rendered its decision on Phase 3 of the request filed by Hydro-Québec. The Régie decided that the existing subscriptions on the Hydro-Québec network will be subject to non-firm service, starting in Winter 2021-2022. The non-firm service will apply for a maximum of 300 hours/year, without any monetary compensation. In considering the financial consequences of this conclusion the Régie requested that Hydro-Québec implement the non-firm service for existing clients during a three-year period through progressive implementation. The Régie did not provide any guidance to Hydro-Québec on how to proceed. The Régie provided the following reasons to justify this conclusion:</w:t>
      </w:r>
    </w:p>
    <w:p>
      <w:pPr>
        <w:spacing w:after="0" w:line="192" w:lineRule="exact"/>
        <w:rPr>
          <w:sz w:val="20"/>
          <w:szCs w:val="20"/>
          <w:color w:val="auto"/>
        </w:rPr>
      </w:pPr>
    </w:p>
    <w:p>
      <w:pPr>
        <w:ind w:left="2280" w:hanging="328"/>
        <w:spacing w:after="0" w:line="277" w:lineRule="auto"/>
        <w:tabs>
          <w:tab w:leader="none" w:pos="2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existing clients, such as Bitfarms Canada, have already executed agreements with municipal electricity networks with non-firm service (without financial compensation) for at least 300 hours per year;</w:t>
      </w:r>
    </w:p>
    <w:p>
      <w:pPr>
        <w:spacing w:after="0" w:line="170" w:lineRule="exact"/>
        <w:rPr>
          <w:rFonts w:ascii="Arial" w:cs="Arial" w:eastAsia="Arial" w:hAnsi="Arial"/>
          <w:sz w:val="18"/>
          <w:szCs w:val="18"/>
          <w:color w:val="auto"/>
        </w:rPr>
      </w:pPr>
    </w:p>
    <w:p>
      <w:pPr>
        <w:ind w:left="2280" w:right="20" w:hanging="328"/>
        <w:spacing w:after="0" w:line="277" w:lineRule="auto"/>
        <w:tabs>
          <w:tab w:leader="none" w:pos="2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clients entering the market through the call for tenders process will be subject to non-firm service, without financial compensation. The treatment of those new clients must be fair and equitable with existing clients; and</w:t>
      </w:r>
    </w:p>
    <w:p>
      <w:pPr>
        <w:spacing w:after="0" w:line="170" w:lineRule="exact"/>
        <w:rPr>
          <w:rFonts w:ascii="Arial" w:cs="Arial" w:eastAsia="Arial" w:hAnsi="Arial"/>
          <w:sz w:val="18"/>
          <w:szCs w:val="18"/>
          <w:color w:val="auto"/>
        </w:rPr>
      </w:pPr>
    </w:p>
    <w:p>
      <w:pPr>
        <w:ind w:left="2280" w:hanging="328"/>
        <w:spacing w:after="0" w:line="277" w:lineRule="auto"/>
        <w:tabs>
          <w:tab w:leader="none" w:pos="2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load shedding for 300 hours represents only 3.4% of the 8,760 hours in a year. The Régie does not consider this request unreasonable considering the risks that cryptocurrency clients represent for Hydro-Québec.</w:t>
      </w:r>
    </w:p>
    <w:p>
      <w:pPr>
        <w:spacing w:after="0" w:line="170"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In accordance with the Phase 3 decision, it is presently anticipated that Bitfarms Canada’s operations will continue on a non-firm service basis for at least 300 hours per year. Bitfarms Canada has undertaken a challenge to the Phase 3 decision through an administrative review process which is currently underway.</w:t>
      </w:r>
    </w:p>
    <w:p>
      <w:pPr>
        <w:spacing w:after="0" w:line="184" w:lineRule="exact"/>
        <w:rPr>
          <w:sz w:val="20"/>
          <w:szCs w:val="20"/>
          <w:color w:val="auto"/>
        </w:rPr>
      </w:pPr>
    </w:p>
    <w:p>
      <w:pPr>
        <w:jc w:val="both"/>
        <w:ind w:left="660" w:hanging="328"/>
        <w:spacing w:after="0" w:line="25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Electricity supplied by Hydro-Québec and the Municipal Electrical Networks may be set at Preferential Rates in an effort to encourage investment and development in particular regions. Hydro-Québec and Municipal Electrical Networks may offer a discretionary Preferential Rate to certain customers, such rate being lower than the rate set by the Régie, notwithstanding that the Hydro-Québec and the Municipal Electric Networks may suffer a financial loss on the supply of electricity to those customers. If a Preferential Rate is changed or no longer available to Backbone, the Company’s operations and profitability may experience a material adverse effect. In addition, although power is supplied by the Municipal Networks to Backbone under the long-term power contracts, the rates in those contracts are adjusted in response to tariff changes imposed by the Régie.</w:t>
      </w:r>
    </w:p>
    <w:p>
      <w:pPr>
        <w:spacing w:after="0" w:line="5"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Electricity supplied by Grant PUD may be subject to rate increases and the Company’s classification into a certain rate category may change, resulting in higher rates paid for its supply of electricity. Any significant increase in the electricity rates that the Company is subject to could result in a material adverse effect on the Company’s operations in Washington state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Electricity supplied by CLYFSA is renewable on an annual basis and may be subject to rate increases by ANDE, which can be passed onto the Company. Any failure to renew the contract or significant increase in the electricity rates that the Company is subject to could result in a material adverse effect on the Company’s operations in Paraguay.</w:t>
      </w:r>
    </w:p>
    <w:p>
      <w:pPr>
        <w:spacing w:after="0" w:line="1" w:lineRule="exact"/>
        <w:rPr>
          <w:rFonts w:ascii="Arial" w:cs="Arial" w:eastAsia="Arial" w:hAnsi="Arial"/>
          <w:sz w:val="18"/>
          <w:szCs w:val="18"/>
          <w:color w:val="auto"/>
        </w:rPr>
      </w:pPr>
    </w:p>
    <w:p>
      <w:pPr>
        <w:jc w:val="both"/>
        <w:ind w:left="660" w:hanging="328"/>
        <w:spacing w:after="0" w:line="277"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The terms of electricity supplied by GMSA in Argentina are included in the Company’s power contract, which establishes a rate of $0.02 per kilowatt hour for the first four years, up to a maximum amount of 1,103,760 megawatt hours per year and subject to pro-rata adjustments as described in the </w:t>
      </w:r>
      <w:r>
        <w:rPr>
          <w:rFonts w:ascii="Arial" w:cs="Arial" w:eastAsia="Arial" w:hAnsi="Arial"/>
          <w:sz w:val="17"/>
          <w:szCs w:val="17"/>
          <w:i w:val="1"/>
          <w:iCs w:val="1"/>
          <w:color w:val="auto"/>
        </w:rPr>
        <w:t>Supply of Electrical Power, Electricity Rates, Terms of Service and the Régie de l’Énergie</w:t>
      </w:r>
      <w:r>
        <w:rPr>
          <w:rFonts w:ascii="Arial" w:cs="Arial" w:eastAsia="Arial" w:hAnsi="Arial"/>
          <w:sz w:val="17"/>
          <w:szCs w:val="17"/>
          <w:color w:val="auto"/>
        </w:rPr>
        <w:t xml:space="preserve"> section of this AIF.</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35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ind w:left="660" w:hanging="328"/>
        <w:spacing w:after="0" w:line="25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agreement also provides for GMSA to renegotiate the $0.02 per kilowatt hour rate if the ratio of the exchange rate under the blue-chip swap mechanism used in Argentina to the official exchange rate is less than 1.50. The $0.02 per kilowatt hour rate and applicable adjustments described above are in effect for the first four years of the contract and a formula to determine the power rate applicable to subsequent periods is based mainly on changes in natural gas costs and currency exchange rates. The contract also includes certain situations where the Company’s supply of electricity can be interrupted, which include:</w:t>
      </w:r>
    </w:p>
    <w:p>
      <w:pPr>
        <w:spacing w:after="0" w:line="3" w:lineRule="exact"/>
        <w:rPr>
          <w:rFonts w:ascii="Arial" w:cs="Arial" w:eastAsia="Arial" w:hAnsi="Arial"/>
          <w:sz w:val="18"/>
          <w:szCs w:val="18"/>
          <w:color w:val="auto"/>
        </w:rPr>
      </w:pPr>
    </w:p>
    <w:p>
      <w:pPr>
        <w:ind w:left="1300" w:hanging="324"/>
        <w:spacing w:after="0" w:line="250" w:lineRule="auto"/>
        <w:rPr>
          <w:rFonts w:ascii="Arial" w:cs="Arial" w:eastAsia="Arial" w:hAnsi="Arial"/>
          <w:sz w:val="18"/>
          <w:szCs w:val="18"/>
          <w:color w:val="auto"/>
        </w:rPr>
      </w:pPr>
      <w:r>
        <w:rPr>
          <w:rFonts w:ascii="Arial" w:cs="Arial" w:eastAsia="Arial" w:hAnsi="Arial"/>
          <w:sz w:val="18"/>
          <w:szCs w:val="18"/>
          <w:color w:val="auto"/>
        </w:rPr>
        <w:t>o Regulatory intervention preventing GMSA from providing the Company with electricity, or directing GMSA to reroute its electricity to the wholesale market;</w:t>
      </w:r>
    </w:p>
    <w:p>
      <w:pPr>
        <w:ind w:left="1300" w:right="20" w:hanging="324"/>
        <w:spacing w:after="0" w:line="250" w:lineRule="auto"/>
        <w:rPr>
          <w:rFonts w:ascii="Arial" w:cs="Arial" w:eastAsia="Arial" w:hAnsi="Arial"/>
          <w:sz w:val="18"/>
          <w:szCs w:val="18"/>
          <w:color w:val="auto"/>
        </w:rPr>
      </w:pPr>
      <w:r>
        <w:rPr>
          <w:rFonts w:ascii="Arial" w:cs="Arial" w:eastAsia="Arial" w:hAnsi="Arial"/>
          <w:sz w:val="18"/>
          <w:szCs w:val="18"/>
          <w:color w:val="auto"/>
        </w:rPr>
        <w:t>o Scheduled and unscheduled maintenance required to service the power plant or related equipment required to supply the Company with energy; and</w:t>
      </w:r>
    </w:p>
    <w:p>
      <w:pPr>
        <w:ind w:left="980"/>
        <w:spacing w:after="0"/>
        <w:rPr>
          <w:rFonts w:ascii="Arial" w:cs="Arial" w:eastAsia="Arial" w:hAnsi="Arial"/>
          <w:sz w:val="18"/>
          <w:szCs w:val="18"/>
          <w:color w:val="auto"/>
        </w:rPr>
      </w:pPr>
      <w:r>
        <w:rPr>
          <w:rFonts w:ascii="Arial" w:cs="Arial" w:eastAsia="Arial" w:hAnsi="Arial"/>
          <w:sz w:val="18"/>
          <w:szCs w:val="18"/>
          <w:color w:val="auto"/>
        </w:rPr>
        <w:t>o   Regulatory intervention limiting GMSA’s supply of natural gas.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$0.02 per kilowatt hour electricity rate with GMSA is limited to certain annual megawatt hour thresholds and pro-rata adjustments. The Company may be materially adversely impacted if it is unable to successfully negotiate economically viable electricity rates for its electricity consumption that is not subject to the $0.02 per kilowatt hour electricity rate.</w:t>
      </w:r>
    </w:p>
    <w:p>
      <w:pPr>
        <w:spacing w:after="0" w:line="1"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energy pricing under the remaining four years of the GMSA contract is determined by a formula that is largely determined by natural gas prices, which have increased significantly due to recent geopolitical events. Increases in natural gas prices or sustained elevated levels of natural gas prices may cause the Company’s electricity prices under this agreement to reach levels that have a material adverse effect on the Company’s profitability.</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 increase in the Company’s electricity costs, cost of natural gas, changes in currency exchange rates in Argentina, energy curtailment or regulatory changes in the energy regimes in the jurisdictions in which the Company operates may adversely impact the Company’s profitability.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Increases in Commodity Prices or Reductions in the Availability of Commodities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uses and intends to use certain commodities in its current and future cryptocurrency mining operations, including hydroelectricity and natural gas, respectively. Any unexpected, sudden or prolonged price increase in those commodities may cause a reduction in the Company’s profits where beneficial fixed-priced contracts do not exist or unfavorable fixed-price contracts cannot be modified. There also may be curtailment in electricity or natural gas supply. Geopolitical factors or wars could exacerbate these risks. In particular, the Russia-Ukraine conflict may intensify the inflationary effect on the cost of natural gas, which could be difficult to predict given the fluidity of the military conflict, the novelty of sanctions against Russia and the possibility of yet harsher ones as well as other related developments. The realization of any of the foregoing risks with respect to commodity prices could increase the Company’s operating costs, reduce its profitability and, depending upon the duration and extent of the impact, have a material adverse effect on its financial condition.</w:t>
      </w:r>
    </w:p>
    <w:p>
      <w:pPr>
        <w:spacing w:after="0" w:line="19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i w:val="1"/>
          <w:iCs w:val="1"/>
          <w:color w:val="auto"/>
        </w:rPr>
        <w:t>Hazards Associated with High-voltage Electricity Transmission and Industrial Operations, and Suspension of Operations or Imposition of Civil or Criminal Penalties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operations of the Company are subject to typical hazards associated with high-voltage electricity transmission and the supply of utilities to the facilities of the Company at an industrial scale, including explosions, fires, inclement weather, natural disasters, flooding, mechanical failure, unscheduled downtime, equipment interruptions, remediation, chemical spills, discharges or releases of toxic or hazardous substances or gases and other environmental risks. These hazards can cause personal injury and loss of life, severe damage to or destruction of property and equipment and environmental damage, and may result in suspension of operations and the imposition of civil or criminal penalties.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industry in which the Company operates is intensely competitive, and the Company competes, and in the future, will compete, with other mining companies for its percentage of the cryptocurrency mining networks, which is currently only the Bitcoin network. A fundamental property of mining associated with many cryptocurrencies is that the computational complexity of the mining algorithm increases as more computational power joins the network, directly impacting the quantity of Bitcoin mined using the same amount of computational efforts. This factor along with new industry entrants and Bitcoin price volatility, may make certain cryptocurrencies relatively unprofitable to mine compared to others, or at all.</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Regulation of cryptocurrency outside of Canada has led some mining companies to consider Canada as an attractive jurisdiction in which to operate. This may increase competition to Backbone. Additionally, the Company’s assumptions with respect to its competitors could be inaccurate, and the Company may face unexpected competition in the form of a new entrant in the marketplace. Such competition could erode the Company’s expected market share and could adversely impact the Company’s profitability. Increased competition could also result in increased network computing resources and, consequently, increased mining difficulty.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award of coins for solving blocks and transaction fees are not sufficiently high, miners may not have an adequate incentive to continue Mining and may reduce or entirely cease their Mining operations.</w:t>
      </w: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36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5" w:name="page46"/>
    <w:bookmarkEnd w:id="45"/>
    <w:p>
      <w:pPr>
        <w:jc w:val="both"/>
        <w:spacing w:after="0" w:line="275" w:lineRule="auto"/>
        <w:rPr>
          <w:sz w:val="20"/>
          <w:szCs w:val="20"/>
          <w:color w:val="auto"/>
        </w:rPr>
      </w:pPr>
      <w:r>
        <w:rPr>
          <w:rFonts w:ascii="Arial" w:cs="Arial" w:eastAsia="Arial" w:hAnsi="Arial"/>
          <w:sz w:val="17"/>
          <w:szCs w:val="17"/>
          <w:color w:val="auto"/>
        </w:rPr>
        <w:t>As the number of coins awarded for solving a block in the blockchain decreases, the incentive for miners to continue to contribute processing power to the network may transition from a set reward to transaction fees. Either the requirement from miners of higher transaction fees in exchange for recording transactions in the blockchain, or a software upgrade that automatically charges fees for all transactions, may decrease demand for the relevant coins and prevent the expansion of the network to retail merchants and commercial businesses, resulting in a reduction in the market price of the relevant cryptocurrency that could adversely impact the Company's cryptocurrency inventory and investments.</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order to incentivize miners to continue to contribute processing power to the network, the network may either formally or informally transition from a set reward to transaction fees earned upon solving for a block. This transition could be accomplished either by miners independently electing to record on the blockchains they solve only those transactions that include payment of a transaction fee or by the network adopting software upgrades that require the payment of a minimum transaction fee for all transactions. If transaction fees paid for the recording of transactions in the blockchain become too high, the marketplace may be reluctant to accept the network as a means of payment, and existing users may be motivated to switch between cryptocurrencies or back to fiat currency. Decreased use and demand for coins may adversely affect their value and result in a reduction in the market price of coins.</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the award of coins for solving blocks and transaction fees for recording transactions are not sufficiently high to incentivize miners, miners may reduce or entirely cease expending processing power to solve blocks and confirmations of transactions on the blockchain could be slowed temporarily or for an extended period of time if miners cease operations entirely. A reduction in the processing power expended by miners, including due to miners ceasing their operations, could increase the likelihood of a malicious actor or botnet obtaining control in excess of 50 percent of the processing power active on the blockchain, potentially permitting such actor or botnet to manipulate the blockchain in a manner that adversely affects the Company's mining activities.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reduction in confidence in the confirmation process or processing power of the network may adversely impact the Company's Mining activities, inventory of coins, and investment strategies.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Limited Operating History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only a limited operating history upon which an evaluation of the Company and its prospects can be based. The Company is subject to risks inherent in being a growth-stage company, including under-capitalization, cash shortages, commercially unattractive costs of capital and financing arrangements, limitations with respect to personnel, financial and other resources. In light of those risks as well as others described in this AIF, the Company may not be successful in achieving a return on shareholders’ investment or meeting other metrics of success.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dependent on mined Bitcoin and retained earnings for substantially all of its working capital needs, and there is no assurance that additional funding will be available to it for further development and growth on terms that are acceptable to it or at all.</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incurs substantial expenses and capital investments in the establishment and operation of its business. A significant portion of the Company’s financial resources have been, and will continue to be, directed to the development of its business and related activities. The success of the Company will ultimately depend on its ability to generate cash from its business and its ability to raise external financing. There is no assurance that the required funds will be available for future expansion of the Company’s business. If the Company does not have access to the required funds to continue the operation and development of its business and to the extent that it does not generate cash flow and income, the Company’s long-term viability may be materially and adversely affected.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Future Capital Needs, Uncertainty of Additional Financing and Dilution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ability of the Company to secure any required financing to sustain operations and expansion plans will depend in part upon prevailing capital market conditions and business success. There can be no assurance that the Company will be successful in its efforts to secure any additional financing on terms that are acceptable to it or at all.</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auto"/>
        </w:rPr>
        <w:t>37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spacing w:after="0" w:line="272" w:lineRule="auto"/>
        <w:rPr>
          <w:sz w:val="20"/>
          <w:szCs w:val="20"/>
          <w:color w:val="auto"/>
        </w:rPr>
      </w:pPr>
      <w:r>
        <w:rPr>
          <w:rFonts w:ascii="Arial" w:cs="Arial" w:eastAsia="Arial" w:hAnsi="Arial"/>
          <w:sz w:val="17"/>
          <w:szCs w:val="17"/>
          <w:color w:val="auto"/>
        </w:rPr>
        <w:t>The Company currently anticipates that internally generated funds will be sufficient for working capital requirements. However, the Company will need to raise additional funds in order to support more rapid expansion, develop new or enhanced services and products, respond to competitive pressures, acquire complementary businesses or technologies or take advantage of unanticipated opportunities. The Company may be required to raise additional funds through public or private financing, strategic relationships or other arrangements. There can be no assurance that such additional funding, if needed, will be available on terms attractive to the Company or at all. Even if such funding is available, the Company cannot predict the size or price of future issues of Bitfarms Shares or securities convertible into Bitfarms Shares, nor can the Company predict the cost or effect, if any, that future issues and sales of the Bitfarms Shares will have on the price of the Bitfarms Shares.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Furthermore, any additional equity financing may be dilutive to shareholders, and any future debt financing, if available, may involve restrictive covenants that may prevent the Company from pursuing business opportunities and other aspects of its development strategy. If additional funds are raised through the issuance of equity securities, the percentage ownership of the shareholders of the Company will be reduced, shareholders may experience additional dilution in net book value per share, or such equity securities may have rights, preferences or privileges senior to those of the holders of the common shares. If adequate funds are not available on acceptable terms, the Company may be unable to develop or enhance its business, take advantage of future opportunities or respond to competitive pressures, any of which could have a material adverse effect on the Company’s business, financial condition and operating results.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Management of Growth</w:t>
      </w:r>
    </w:p>
    <w:p>
      <w:pPr>
        <w:spacing w:after="0" w:line="225" w:lineRule="exact"/>
        <w:rPr>
          <w:sz w:val="20"/>
          <w:szCs w:val="20"/>
          <w:color w:val="auto"/>
        </w:rPr>
      </w:pPr>
    </w:p>
    <w:p>
      <w:pPr>
        <w:jc w:val="both"/>
        <w:ind w:hanging="17"/>
        <w:spacing w:after="0" w:line="272" w:lineRule="auto"/>
        <w:rPr>
          <w:sz w:val="20"/>
          <w:szCs w:val="20"/>
          <w:color w:val="auto"/>
        </w:rPr>
      </w:pPr>
      <w:r>
        <w:rPr>
          <w:rFonts w:ascii="Arial" w:cs="Arial" w:eastAsia="Arial" w:hAnsi="Arial"/>
          <w:sz w:val="17"/>
          <w:szCs w:val="17"/>
          <w:color w:val="auto"/>
        </w:rPr>
        <w:t>The Company has recently experienced, and may continue to experience, rapid growth in the scope of its operations. This growth has resulted in increased responsibilities for the Company’s existing personnel, the hiring of additional personnel and, in general, higher levels of operating expenses. In order to manage its current operations and any future growth effectively, the Company will need to continue to implement and improve its operational, internal controls, financial, and management information systems, as well as hire, manage and retain employees and maintain its corporate culture and technical and service standards. In the current cryptocurrency market, employees with sufficient knowledge and expertise will need to be hired and retained in order to fully support the Company’s growth. There can be no assurance that the Company will be able to manage such growth effectively or that its management, personnel or systems will be adequate to support the Company’s operations.</w:t>
      </w:r>
    </w:p>
    <w:p>
      <w:pPr>
        <w:spacing w:after="0" w:line="177" w:lineRule="exact"/>
        <w:rPr>
          <w:sz w:val="20"/>
          <w:szCs w:val="20"/>
          <w:color w:val="auto"/>
        </w:rPr>
      </w:pPr>
    </w:p>
    <w:p>
      <w:pPr>
        <w:jc w:val="both"/>
        <w:ind w:hanging="17"/>
        <w:spacing w:after="0" w:line="257" w:lineRule="auto"/>
        <w:rPr>
          <w:sz w:val="20"/>
          <w:szCs w:val="20"/>
          <w:color w:val="auto"/>
        </w:rPr>
      </w:pPr>
      <w:r>
        <w:rPr>
          <w:rFonts w:ascii="Arial" w:cs="Arial" w:eastAsia="Arial" w:hAnsi="Arial"/>
          <w:sz w:val="18"/>
          <w:szCs w:val="18"/>
          <w:color w:val="auto"/>
        </w:rPr>
        <w:t>The Company’s growth will depend in part on its continuing ability to identify, hire, train and retain highly qualified management, technical and sales and marketing personnel. Competition for such personnel is intense, and the Company may not be able to attract and retain the personnel necessary for the development of its business. The inability to attract or retain qualified personnel in the future or delays in hiring skilled personnel could harm the Company's relations with its customers and suppliers, which could prevent the Company from executing its business strategy and could negatively impact the Company's business, including its ability to successfully compete within the industry.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Future Profits/Losses and Production Revenues/Expenses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Further development and acquisitions of server farms and the ongoing operation of the existing Mining farms will require additional capital and monthly expenses. The Company’s operating expenses and capital expenditures may increase in subsequent years as consultants, personnel and equipment associated with the maintenance of the Mining farms and any other Mining farms the Company may acquire or establish are added. There is no assurance that the Company will be successful in obtaining the required financing for these or other purposes, including for general working capital.</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amount and timing of expenditures will depend on the progress of ongoing development, the results of consultants’ analyses and recommendations, the rate at which operating losses are incurred, the execution of any joint venture agreements with strategic partners, and other factors, many of which are beyond the Company’s control. The Company’s management tested and studied the cryptocurrency marketplace before developing its financial projections. The Company’s forecasts are built upon data available on the profitability of cryptocurrency, a new and unstable field. Despite the Company’s confidence in achieving its projections, it may fail to meet the performance forecasts set out in this AIF.</w:t>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color w:val="auto"/>
        </w:rPr>
        <w:t>38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ind w:left="660"/>
        <w:spacing w:after="0"/>
        <w:rPr>
          <w:sz w:val="20"/>
          <w:szCs w:val="20"/>
          <w:color w:val="auto"/>
        </w:rPr>
      </w:pPr>
      <w:r>
        <w:rPr>
          <w:rFonts w:ascii="Arial" w:cs="Arial" w:eastAsia="Arial" w:hAnsi="Arial"/>
          <w:sz w:val="18"/>
          <w:szCs w:val="18"/>
          <w:i w:val="1"/>
          <w:iCs w:val="1"/>
          <w:color w:val="auto"/>
        </w:rPr>
        <w:t>Property Risks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operations and computing equipment, including its Mining operations, are subject to the hazards and risks faced by blockchain and digital asset companies and associated with owning and operating computing equipment. Such hazards include the loss of computing and Mining equipment resulting from natural disasters, including floods, fires, inclement weather, mudslides, earthquakes, or other similar events beyond the control of the Company or its suppliers, any of which could result in damage to, or destruction of, computing and/or Mining equipment, damage to life or property, environmental damage, and possible legal liability for which the Company may not be insured or may be underinsured. Further, any failure in the Company’s software, including its ability to effectively manage the Company’s Mining farms, could have a material adverse effect on the Company's business, results of operations and financial condition.</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There is a risk of serious malfunctions in servers or central processing units and/or their failure. The Company works diligently to reduce this risk by employing a team of experts with many years of experience in building and managing data centers. the Company also employs a "hardware" team, which focuses, among other things, on the repair of Miners and daily evaluation of the technical condition of the server farms that the Company operates. Backbone owns software (developed by its management) that enables, among other things, control, management and reporting of malfunctions in real time, which enables ongoing control over the operation of the equipment, including its cooling. While malfunctions in central servers, or central processing units can only occur on a specific server farm or part of it or for short periods of time, such server crashes or failures may cause significant economic damage to the Company. Additionally, the ability to repair or replace the equipment on a timely basis due to supply chain constraints and the geography of the Company’s locations may contribute to such economic damage.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Discretion Regarding Use by Company of Available Funds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management will have discretion in the application of available funds, including any funds the Company raises through equity or debt financing. The Company may elect to allocate available funds differently than as described herein if the Company’s management believes it would be in the Company’s best interests to do so. The failure by the Company’s management to apply these funds effectively could have a material adverse effect on the Company, its business or its financial performance. The Company does not foresee paying cash dividends in the foreseeable future, as any earnings are expected to be retained for use in developing and expanding operations. The actual amount of any future dividends, if any, received from the Company will remain subject to the discretion of the board of directors and will depend on results of operations, cash requirements and future prospects of the Company.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Trading Price of Common Shares and Volatility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recent years, the securities markets in the United States and Canada, have experienced a high level of price and volume volatility, and the market prices of securities of many companies have experienced wide fluctuations in price that have not necessarily been related to the operating performance, underlying asset values or prospects for such companies. There can be no assurance that continual fluctuations in price will not occur, and the trading price of the Company’s shares may be subject to large fluctuations and may decline below the price at which an investor acquired its shares. The trading price may increase or decrease in response to a number of events and factors, which may not be within the Company’s control nor be a reflection of the Company’s actual operating performance, underlying asset values or prospects. Accordingly, investors may not be able to sell their securities at or above their acquisition cost.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39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ind w:left="660"/>
        <w:spacing w:after="0"/>
        <w:rPr>
          <w:sz w:val="20"/>
          <w:szCs w:val="20"/>
          <w:color w:val="auto"/>
        </w:rPr>
      </w:pPr>
      <w:r>
        <w:rPr>
          <w:rFonts w:ascii="Arial" w:cs="Arial" w:eastAsia="Arial" w:hAnsi="Arial"/>
          <w:sz w:val="18"/>
          <w:szCs w:val="18"/>
          <w:i w:val="1"/>
          <w:iCs w:val="1"/>
          <w:color w:val="auto"/>
        </w:rPr>
        <w:t>Potential Adverse U.S. Federal Income Tax Consequences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a United States person is treated as owning (directly, indirectly, or constructively) at least 10% of the value or voting power of our Common Shares, such person may be treated as a “United States shareholder” with respect to each “controlled foreign corporation” in our group. A United States shareholder of a controlled foreign corporation may be required to report annually and include in its U.S. taxable income its pro rata share of “Subpart F income,” “global intangible low-taxed income,” and investments in U.S. property by controlled foreign corporations, regardless of whether we make any distributions. We are not committing to assist investors in determining whether any of our non-U.S. subsidiaries is treated as a controlled foreign corporation or whether any investor is treated as a United States shareholder with respect to any such controlled foreign corporation or to furnish to any United States shareholders information that may be necessary to comply with the aforementioned reporting and tax paying obligations. A United States investor should consult its advisors regarding the potential application of these rules to an investment in our Common Shares.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cross-border transactions among the entities within our company group in relation to various aspects of our business. Canadian and U.S. transfer pricing regulations, as well as regulations applicable in other countries in which we operate, require that any international transaction involving associated enterprises be on arm’s-length terms and conditions. We view the transactions entered into among the Company and our subsidiaries to be priced on arm’s length terms and conditions and to be in accordance with the relevant transfer pricing regulations. If, however, a tax authority in any jurisdiction successfully challenges our position and asserts that the terms and conditions of such transactions are not on arm’s length terms and conditions, or that other income of our subsidiaries should be taxed in that jurisdiction, we may incur increased tax liability, including accrued interest and penalties, which would cause our tax expense to increase, possibly materially, thereby reducing our profitability and cash flows, which in turn could have a material adverse effect on our future cash flows, future earnings and financial condition.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Potential of Bitfarms Being Classified as a Passive Foreign Investment Company</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Generally, if for any taxable year 75% or more of the Company’s gross income is passive income, or at least 50% of the average quarterly value of the Company’s assets are held for the production of, or produce, passive income, the Company would be characterized as a passive foreign investment company (“</w:t>
      </w:r>
      <w:r>
        <w:rPr>
          <w:rFonts w:ascii="Arial" w:cs="Arial" w:eastAsia="Arial" w:hAnsi="Arial"/>
          <w:sz w:val="16"/>
          <w:szCs w:val="16"/>
          <w:b w:val="1"/>
          <w:bCs w:val="1"/>
          <w:color w:val="auto"/>
        </w:rPr>
        <w:t>PFIC</w:t>
      </w:r>
      <w:r>
        <w:rPr>
          <w:rFonts w:ascii="Arial" w:cs="Arial" w:eastAsia="Arial" w:hAnsi="Arial"/>
          <w:sz w:val="16"/>
          <w:szCs w:val="16"/>
          <w:color w:val="auto"/>
        </w:rPr>
        <w:t>”) for U.S. federal income tax purposes. The Company does not believe it was a PFIC for 2021. However, PFIC status is determined annually, and whether the Company will be a PFIC for the current or any future taxable year is uncertain. Moreover, the Company is not committing to determine whether it is or is not a PFIC on an annual basis. If the Company is characterized as a PFIC, United States holders of Bitfarms Shares may suffer adverse tax consequences, including the treatment of gains realized on the sale of Bitfarms Shares as ordinary income, rather than as capital gain, the loss of the preferential income tax rate applicable to dividends received on Bitfarms Shares by individuals who are United States holders, and the addition of interest charges to the tax on such gains and certain distributions. A United States shareholder of a PFIC generally may mitigate these adverse U.S. federal income tax consequences by making a Qualified Electing Fund (“</w:t>
      </w:r>
      <w:r>
        <w:rPr>
          <w:rFonts w:ascii="Arial" w:cs="Arial" w:eastAsia="Arial" w:hAnsi="Arial"/>
          <w:sz w:val="16"/>
          <w:szCs w:val="16"/>
          <w:b w:val="1"/>
          <w:bCs w:val="1"/>
          <w:color w:val="auto"/>
        </w:rPr>
        <w:t>QEF</w:t>
      </w:r>
      <w:r>
        <w:rPr>
          <w:rFonts w:ascii="Arial" w:cs="Arial" w:eastAsia="Arial" w:hAnsi="Arial"/>
          <w:sz w:val="16"/>
          <w:szCs w:val="16"/>
          <w:color w:val="auto"/>
        </w:rPr>
        <w:t>”) election, or, to a lesser extent, a mark-to-market election. The Company does not intend to provide the information necessary for United States shareholders to make a QEF election if the Company is classified as a PFIC for any year.</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Political and Regulatory Risk</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primary properties will be subject to changes in political conditions and regulations within the Province of Québec, Canada, the State of Washington, the United States, Paraguay and Argentina. Changes, if any, in Mining or investment policies or shifts in political attitude towards cryptocurrencies and cryptocurrency mining, in both countries in which the Company operates and other countries globally, could adversely affect the Company’s operations or profitability. Operations may be affected in varying degrees by government regulations concerning, but not limited to, restrictions on price controls, currency remittance, income taxes, consumption taxes, foreign investment, maintenance of claims, environmental legislation, land use, electricity use and safety. For example, cryptocurrency mining involves considerable computing power, which is likely to increase. This computing power necessitates a high consumption of energy. Although some of the energy costs used by the Company are determined and controlled by a regulator, or are contractually secured, energy tariffs may increase, which in turn, may reduce the Company’s ability to profitably Mine cryptographic currencies.</w:t>
      </w: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color w:val="auto"/>
        </w:rPr>
        <w:t>40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spacing w:after="0" w:line="275" w:lineRule="auto"/>
        <w:rPr>
          <w:sz w:val="20"/>
          <w:szCs w:val="20"/>
          <w:color w:val="auto"/>
        </w:rPr>
      </w:pPr>
      <w:r>
        <w:rPr>
          <w:rFonts w:ascii="Arial" w:cs="Arial" w:eastAsia="Arial" w:hAnsi="Arial"/>
          <w:sz w:val="17"/>
          <w:szCs w:val="17"/>
          <w:color w:val="auto"/>
        </w:rPr>
        <w:t>Ongoing and future regulatory changes or actions may alter the nature of an investment in the Company or restrict the use of cryptocurrencies in a manner that adversely affects the Company’s operations and the value of the coins it holds</w:t>
      </w:r>
      <w:r>
        <w:rPr>
          <w:rFonts w:ascii="Arial" w:cs="Arial" w:eastAsia="Arial" w:hAnsi="Arial"/>
          <w:sz w:val="17"/>
          <w:szCs w:val="17"/>
          <w:i w:val="1"/>
          <w:iCs w:val="1"/>
          <w:color w:val="auto"/>
        </w:rPr>
        <w:t>.</w:t>
      </w:r>
      <w:r>
        <w:rPr>
          <w:rFonts w:ascii="Arial" w:cs="Arial" w:eastAsia="Arial" w:hAnsi="Arial"/>
          <w:sz w:val="17"/>
          <w:szCs w:val="17"/>
          <w:color w:val="auto"/>
        </w:rPr>
        <w:t xml:space="preserve"> The effect of any future regulatory change on the Company or any cryptocurrency that the Company may mine is impossible to predict, but such change could be substantial and adverse to the Company. Canada, the United States, Paraguay and/or Argentina, as well as any other jurisdiction in which the Company operates in the future, may curtail, outlaw or otherwise further regulate the acquisition, mining use or redemption of cryptocurrencies.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Governments may also take regulatory action that may increase the cost and/or subject cryptocurrency companies to additional regulation or prohibit or severely restrict the right to acquire, own, hold, sell, use or trade cryptocurrencies or to exchange cryptocurrencies for fiat currency. By extension, similar actions by other governments, may result in the restriction of the acquisition, ownership, holding, selling, use or trading in the of Bitfarms Shares. Such a restriction could result in the Company liquidating its cryptocurrency inventory at unfavorable prices and may adversely affect the Company’s shareholders.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operations may also be affected to varying degrees by government regulation with respect to restrictions on production, price controls, export controls, foreign exchange controls, income taxes, consumption taxes and environmental legislation.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4, 2022, the Canadian Department of Finance released for public comment a set of draft legislative proposals to implement certain tax measures. These proposed tax measures include restricting the ability of cryptocurrency mining companies to claim back the consumption taxes they incur on purchases of goods and services made in Canada and imports into Canada. If enacted into law, the restriction on the Company’s ability to claim back its consumption taxes, namely the Goods and Services Tax, Harmonized Sales Tax and Quebec Sales Tax, which apply at combined rates from 5% to 14.975% on the cost of goods and services, could significantly add to the Company’s ongoing operating costs and the costs of its capital expenditures in Canada effective as early as February 5, 2022.</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Adoption of ESG Practices and the Impacts of Climate Change</w:t>
      </w:r>
    </w:p>
    <w:p>
      <w:pPr>
        <w:spacing w:after="0" w:line="22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Companies across many industries, including cryptocurrency Mining, are facing scrutiny related to their environmental, social, and governance (“</w:t>
      </w:r>
      <w:r>
        <w:rPr>
          <w:rFonts w:ascii="Arial" w:cs="Arial" w:eastAsia="Arial" w:hAnsi="Arial"/>
          <w:sz w:val="17"/>
          <w:szCs w:val="17"/>
          <w:b w:val="1"/>
          <w:bCs w:val="1"/>
          <w:color w:val="auto"/>
        </w:rPr>
        <w:t>ESG</w:t>
      </w:r>
      <w:r>
        <w:rPr>
          <w:rFonts w:ascii="Arial" w:cs="Arial" w:eastAsia="Arial" w:hAnsi="Arial"/>
          <w:sz w:val="17"/>
          <w:szCs w:val="17"/>
          <w:color w:val="auto"/>
        </w:rPr>
        <w:t>”) practices. Investor advocacy groups, certain institutional investors, investment funds and other influential investors are also increasingly focused on ESG practices and in recent years have placed increasing importance on the non-financial impacts of their investments. Enhanced public awareness and concern regarding environmental risks, including global climate change, may result in increased public scrutiny of the Company’s business and the cryptocurrency Mining industry in general. As a result, the Company’s management team may divert significant time and energy towards responding to such scrutiny and addressing and enhancing the Company’s ESG practices.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the impacts of climate change may affect the availability and cost of materials, natural resources, and sources and supplies of energy, which may increase the costs of the Company’s operations. Other factors which may impact the Company’s profitability include demand for Bitcoin and other cryptocurrencies, insurance and other operating costs, and damage incurred as a result of extreme weather events. New environmental laws, regulations or industry standards may be adopted with little or no notice to the Company, and impose significant operational restrictions and compliance requirements on the Company’s operations. The cost of compliance with changes in government regulations has the potential to reduce the profitability of the Company’s operations or cause delays in the development of new Mining projects.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Permits and Licences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operations of the Company may require licences and permits from various governmental authorities. There can be no assurance that the Company will be able to obtain or maintain all necessary licences and permits that may be required. Any failure to obtain or maintain any such licenses or permits may result in fines, restrictions on the ability of the Company to continue to operate its business or other adverse consequences.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current or future operations of the Company, including development activities and Mining on its properties, may require permits from various federal, provincial or territorial and local governmental authorities and such operations are and will be governed by laws and regulations governing prospecting, exports, taxes, labour standards, occupational health, and other matters. There can be no assurance, however, that all permits which the Company may require for its operations will be obtained on reasonable terms, on a timely basis, or at all or that such laws and regulations would not have an adverse effect on any mining project which the Company might undertake.</w:t>
      </w: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41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left="660"/>
        <w:spacing w:after="0"/>
        <w:rPr>
          <w:sz w:val="20"/>
          <w:szCs w:val="20"/>
          <w:color w:val="auto"/>
        </w:rPr>
      </w:pPr>
      <w:r>
        <w:rPr>
          <w:rFonts w:ascii="Arial" w:cs="Arial" w:eastAsia="Arial" w:hAnsi="Arial"/>
          <w:sz w:val="18"/>
          <w:szCs w:val="18"/>
          <w:i w:val="1"/>
          <w:iCs w:val="1"/>
          <w:color w:val="auto"/>
        </w:rPr>
        <w:t>Global Financial Conditions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Global financial conditions over the last few years have been characterized by volatility and the bankruptcy of several financial institutions or the rescue thereof by governmental authorities. These factors may affect the ability of the Company to obtain equity or debt financing in the future on terms favourable to it. Additionally, these factors, as well as other related factors, may cause decreases in asset values that are deemed to be other than temporary, which may result in impairment losses. If such levels of volatility and market turmoil continue, the operations of the Company may suffer adverse impact and the price of the Bitfarms Shares may be adversely affected.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 Consequences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investment in Bitfarms Shares may have tax consequences in Canada, the United States, or another jurisdiction, depending on each particular existing or prospective shareholder's specific circumstances. Such tax consequences are not described herein, and this AIF is not intended to be, nor should it be construed to be, legal or tax advice to any particular shareholder. Existing and prospective shareholders should consult their own tax advisors with respect to any such tax considerations.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Liability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may be subject to potential risks and liabilities associated with pollution of the environment through its use of electricity to Mine cryptocurrencies. In addition, environmental hazards may exist on a property in which the Company directly or indirectly holds an interest that are unknown to the Company at present and have been caused by previous or existing owners or operators of the property, and such environmental hazards may result in environmental pollution. The extent such environmental hazards and pollution are in violation of one or more environmental rules or regulations, the Company may be subject to fines and penalties.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the extent the Company is subject to environmental liabilities, the payment of such liabilities or the costs that it may incur to remedy environmental pollution would reduce funds otherwise available to it and could have a material adverse effect on the Company. If the Company is unable to fully remedy an environmental problem, it might be required to suspend operations or enter into interim compliance measures pending completion of the required remedy. The potential exposure may be significant and could have a material adverse effect on the Company.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 Risks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the Company maintains and in the future expects to maintain insurance against risks in the operation of its business and in amounts that it believes to be reasonable, such insurance policies contain, and in the future, will contain exclusions and limitations on coverage. In addition, the value of the assets that the Company insures, namely its cryptocurrency mining hardware, is subject to significant price fluctuations that may cause the replacement cost to exceed the insurance coverage maintained by the Company. If the Company incurs losses that are material, its business, operating results and financial condition could be adversely affected, and it may not have recourse to an insurer for any or all of such losses. Even in the case of a loss for which that the Company maintains insurance, there is no guarantee that any such insurance coverage will be sufficient or that insurance proceeds will be paid to the Company. Additionally, there is a risk that the Company will not have the ability to find adequate insurance in the future if relevant insurance contracts are not renewed at maturity.</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42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both"/>
        <w:spacing w:after="0" w:line="291" w:lineRule="auto"/>
        <w:rPr>
          <w:sz w:val="20"/>
          <w:szCs w:val="20"/>
          <w:color w:val="auto"/>
        </w:rPr>
      </w:pPr>
      <w:r>
        <w:rPr>
          <w:rFonts w:ascii="Arial" w:cs="Arial" w:eastAsia="Arial" w:hAnsi="Arial"/>
          <w:sz w:val="16"/>
          <w:szCs w:val="16"/>
          <w:color w:val="auto"/>
        </w:rPr>
        <w:t>Where considered practical to do so, the Company will maintain insurance against risks in the operation of its business and in amounts that it believes to be reasonable. Such insurance will contain exclusions and limitations on coverage. There can be no assurance that such insurance will continue to be available, will be available at economically acceptable premiums or will be adequate to cover any resulting liability. The novelty of the industry may impair the ability of the Company to acquire adequate insurance coverage for risks associated with its operations. The occurrence of an event that is not covered, in full or in part, by insurance may cause substantial economic damage to the Company. In some cases, such as with respect to environmental risks, coverage is not available or considered too expensive relative to the perceived risk. Any losses incurred by the Company for which insurance coverage is not available or has not been obtained could adversely impact the Company, including its financial condition and results of operations.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 of Key Employees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depends on a number of key employees, the loss of any one of whom could have an adverse effect on the Company. The Company will not have and is not expected to purchase key person insurance on such individuals, which insurance would provide the Company with insurance proceeds in the event of their death. Without key person insurance, the Company may not have the financial resources to develop or maintain its business until it replaces the individual. The development of the business of the Company will be dependent on its ability to attract and retain highly qualified management and mining personnel. The Company operates in a specialized and nascent industry and will face competition from other employers. If the Company is unable to attract or retain qualified personnel as required, it may not be able to adequately manage and implement its business plan.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Risk</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Credit risk is the risk of an unexpected loss if a party to an arrangement or financial instrument fails to meet its contractual obligations. The Company’s financial assets exposed to credit risk will be primarily composed of cash, accounts receivable, digital assets, digital assets pledged as collateral and equipment prepayments. The Company is exposed to counterparty credit risk through the significant deposits it places with suppliers of mining hardware to secure orders and delivery dates. The risk of a supplier failing to meet its contractual obligations may result in late deliveries or long-term deposits and equipment prepayments that are not realized. The Company attempts to mitigate this risk by procuring mining hardware from the larger more established suppliers and with whom the Company has existing relationships and knowledge of their reputation in the market. While the Company attempts to mitigate its exposure to credit risk, there can be no assurance that unexpected losses will not occur. Such unexpected losses could adversely affect the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Third Party Supplier Risks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enters into contracts with a limited number of third party suppliers to procure mining hardware. If any of those suppliers is unable to or otherwise does not fulfill (or does not fulfill in a timely manner) its obligations to the Company for any reason (including, but not limited to, bankruptcy, computer or other technological interruptions or failures, personnel loss, negative regulatory actions, or acts of God) or engages in fraud or other misconduct during the course of such relationship, the Company may need to seek alternative third party suppliers, or discontinue certain products or programs in their entirety. In addition, the Company may in the future be held directly or indirectly responsible, or be otherwise subject to liability, for actions or omissions of third parties undertaken in connection with the Company's arrangement with such third parties. Any such responsibility or liability in the future may have a material adverse effect on the Company’s business and financial results.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rate risk is the risk that the future cash flows of a financial instrument will fluctuate because of changes in market interest rates. The Company has not entered into any derivative contracts to manage this risk.</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will be exposed to interest rate changes on its investments that are expected to pay interest, and any credit facilities it may have that bear interest at a floating rate. Changes in the prime lending rate would affect earnings and could adversely affect the Company’s profitability.</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43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ind w:left="660"/>
        <w:spacing w:after="0"/>
        <w:rPr>
          <w:sz w:val="20"/>
          <w:szCs w:val="20"/>
          <w:color w:val="auto"/>
        </w:rPr>
      </w:pPr>
      <w:r>
        <w:rPr>
          <w:rFonts w:ascii="Arial" w:cs="Arial" w:eastAsia="Arial" w:hAnsi="Arial"/>
          <w:sz w:val="18"/>
          <w:szCs w:val="18"/>
          <w:i w:val="1"/>
          <w:iCs w:val="1"/>
          <w:color w:val="auto"/>
        </w:rPr>
        <w:t>Currency Exchange Risk</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is exposed to fluctuations in currency exchange rates, which could negatively affect its financial condition and results of operations. Exchange rate fluctuations may affect the costs that the Company incurs in its operations. Cryptocurrencies are generally acquired in exchange for U.S. dollars, and the Company's costs with respect to its Canadian and Argentine operations are incurred principally in Canadian dollars and the Argentine Peso, respectively. The appreciation of non-U.S. dollar currencies against the U.S. dollar could increase the cost of Mining in U.S. dollar terms. In addition, the Company holds cash balances in U.S. dollars, Canadian dollars and Argentine Pesos, the values of which are impacted by fluctuations in currency exchange rates. In particular, the Company expects to hold cash and significant value-added tax receivables in Argentine Pesos. Historically, the Argentine Peso has devalued significantly when compared to the U.S. dollar due to high levels of inflation in Argentina, which may result in the Company incurring future foreign exchange losses on its Argentine Peso-denominated balances. The Company does not currently employ a strategy to actively hedge against potential currency exchange risks.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Controlling Shareholder Risk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Promoters of the Company beneficially own 18,731,890 of the issued and outstanding Bitfarms Shares representing approximately 9.3% of the issued and outstanding Bitfarms Shares. See “</w:t>
      </w:r>
      <w:r>
        <w:rPr>
          <w:rFonts w:ascii="Arial" w:cs="Arial" w:eastAsia="Arial" w:hAnsi="Arial"/>
          <w:sz w:val="17"/>
          <w:szCs w:val="17"/>
          <w:i w:val="1"/>
          <w:iCs w:val="1"/>
          <w:color w:val="auto"/>
        </w:rPr>
        <w:t>PROMOTERS</w:t>
      </w:r>
      <w:r>
        <w:rPr>
          <w:rFonts w:ascii="Arial" w:cs="Arial" w:eastAsia="Arial" w:hAnsi="Arial"/>
          <w:sz w:val="17"/>
          <w:szCs w:val="17"/>
          <w:color w:val="auto"/>
        </w:rPr>
        <w:t>”. By virtue of their status as the principal shareholders of the Company, and by being directors and officers of the Company, the Promoters have the power to exercise significant influence over all matters requiring shareholder approval, including the election of directors, amendments to the Company’s articles and by-laws and any future mergers, business combinations or the sale of substantially all or substantially all of the Company’s assets. As a result, the Company could be prevented from entering into transactions that could be beneficial to the Company or its other shareholders. Also, third parties could be discouraged from making a take-over bid with respect to the Company. As well, sales by the Promoters of a substantial number of Bitfarms Shares could cause the market price of the Bitfarms Shares to decline.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COVID-19 Pandemic Risk</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2020, the World Health Organization declared COVID-19 a pandemic. The potential impacts that COVID-19 may have on the Company include increases in cryptocurrency price volatility and delays in receiving future orders of mining hardware and construction materials required to achieve the Company’s growth objectives as a result of supply chain disruptions.. The Company has been, and is expected to continue to be, operating throughout the pandemic. During the year ended December 31, 2021, the Company has experienced longer than usual lead times and greater price fluctuations than usual in procuring construction materials and equipment from third parties required for the Company’s infrastructure buildout. It is not possible to reliably estimate the length and severity of those developments and trends or their impact on the financial results and position of the Company and its operating subsidiaries in future periods.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Forward Looking Statements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All statements contained in this AIF that are not based on historical facts, but rather are forward looking statements based on management’s current expectations, estimates, forecasts and projects about the Company’s business, which involve risks and uncertainties. There can be no assurance that such statements will prove to be accurate as actual results and future events could differ materially from those anticipated in such forward looking statements. Without limiting the generality of the foregoing, such risks and uncertainties include construction delays, availability of Mining hardware, fluctuations in Bitcoin price and network difficulty, fluctuations in foreign currency exchange rates, political risk and changes in regulation around cryptocurrency and cryptocurrency mining, theft or damages caused by hacking, and failure to obtain adequate financing on a timely basis, as well as the other risks described in this AIF. Furthermore, the inclusion of forward looking statements should not be regarded as a representation by the Company or any other person that future events, plans or expectations contemplated by the Company will be achieved. Given these risks and uncertainties, the reader should not place undue reliance on the forward looking information contained in this AIF. All forward looking statements included in this AIF are made only as of the date of this AIF, and the Company does not undertake any obligation to publicly update or correct any forward looking statements to reflect events or circumstances that subsequently occur, or of which the Company hereafter becomes aware. All forward looking statements attributable to the Company are expressly qualified by this cautionary statement.</w:t>
      </w: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color w:val="auto"/>
        </w:rPr>
        <w:t>44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PRIOR SALES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28, 2020 the Board of Directors approved a stock option grant of 2,600,000 options to directors, officers and employees to purchase 2,600,000 Common Shares at an exercise price of CAD$0.36 per share with a term of five years from the date of the grant.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31, 2020, the Board of Directors approved a stock option grant of 1,200,000 options to directors, officers and employees to purchase 1,200,000 Common Shares at an exercise price of CAD$0.43 per share with a term of five years from the date of the grant.</w:t>
      </w:r>
    </w:p>
    <w:p>
      <w:pPr>
        <w:spacing w:after="0" w:line="16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September 2020, the Company signed a non-binding LOI with BlockFills to secure additional future lease financing (the “</w:t>
      </w:r>
      <w:r>
        <w:rPr>
          <w:rFonts w:ascii="Arial" w:cs="Arial" w:eastAsia="Arial" w:hAnsi="Arial"/>
          <w:sz w:val="16"/>
          <w:szCs w:val="16"/>
          <w:b w:val="1"/>
          <w:bCs w:val="1"/>
          <w:color w:val="auto"/>
        </w:rPr>
        <w:t>BlockFills Lease Facility</w:t>
      </w:r>
      <w:r>
        <w:rPr>
          <w:rFonts w:ascii="Arial" w:cs="Arial" w:eastAsia="Arial" w:hAnsi="Arial"/>
          <w:sz w:val="16"/>
          <w:szCs w:val="16"/>
          <w:color w:val="auto"/>
        </w:rPr>
        <w:t>”). In connection with the BlockFills Lease Facility, BlockFills would be provided with up to 1,000,000 warrants (the “</w:t>
      </w:r>
      <w:r>
        <w:rPr>
          <w:rFonts w:ascii="Arial" w:cs="Arial" w:eastAsia="Arial" w:hAnsi="Arial"/>
          <w:sz w:val="16"/>
          <w:szCs w:val="16"/>
          <w:b w:val="1"/>
          <w:bCs w:val="1"/>
          <w:color w:val="auto"/>
        </w:rPr>
        <w:t>Warrants</w:t>
      </w:r>
      <w:r>
        <w:rPr>
          <w:rFonts w:ascii="Arial" w:cs="Arial" w:eastAsia="Arial" w:hAnsi="Arial"/>
          <w:sz w:val="16"/>
          <w:szCs w:val="16"/>
          <w:color w:val="auto"/>
        </w:rPr>
        <w:t>”) in Bitfarms Ltd. at a strike price of USD$0.40 per warrant for at term of two years. Each Warrant provides the right to acquire one common share of the Company. The number of Warrants will be issued on a pro-rata basis based on a minimum $12,000,000 purchase price of equipment leased to Bitfarms Canada. For example, if only $9,000,000 in lease financing is provided, BlockFills would receive 75% of total Warrants, or 750,000 Warrants. In accordance with the BlockFills Lease Facility, in November 2020 and May 2021, the Company issued 336,250 and 468,013 Warrants, respectively, to BlockFills at a price of USD$0.40 per warrant expiring two years from the date of the grant. All of the Warrants were exercised in December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On September 12, 2020, 1,000,000 Common Shares were issued to and in the name of Dominion Capital LLC.</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21, 2020, the Board of Directors approved a stock option grant of 400,000 options to employees to purchase 400,000 Common Shares at an exercise price of CAD$0.35 per share with a term of five years from the date of the grant.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December 22, 2020, the Board of Directors approved a stock option grant of 1,024,600 options to directors, officers and employees to purchase 1,024,600 Common Shares at an exercise price of CAD$1.76 per share with a term of five years from the date of the grant.</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January 7, 2021, the Company closed the January 7, 2021 Offering for gross proceeds of approximately CAD$20.0 million, composed of the sale of 8,888,889 Common Shares along with warrants to purchase an aggregate of up to 8,888,889 Common Shares at a purchase price of CAD$2.25 per Common Share and associated warrant. See “</w:t>
      </w:r>
      <w:r>
        <w:rPr>
          <w:rFonts w:ascii="Arial" w:cs="Arial" w:eastAsia="Arial" w:hAnsi="Arial"/>
          <w:sz w:val="16"/>
          <w:szCs w:val="16"/>
          <w:i w:val="1"/>
          <w:iCs w:val="1"/>
          <w:color w:val="auto"/>
        </w:rPr>
        <w:t>GENERAL DEVELOPMENT OF THE BUSINESS – Three Year History – Fiscal 2021 – Private Placements</w:t>
      </w:r>
      <w:r>
        <w:rPr>
          <w:rFonts w:ascii="Arial" w:cs="Arial" w:eastAsia="Arial" w:hAnsi="Arial"/>
          <w:sz w:val="16"/>
          <w:szCs w:val="16"/>
          <w:color w:val="auto"/>
        </w:rPr>
        <w:t>”.</w:t>
      </w:r>
    </w:p>
    <w:p>
      <w:pPr>
        <w:spacing w:after="0" w:line="14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On January 13, 2021, the Company closed the January 13, 2021 Offering for gross proceeds of approximately CAD$20.0 million, composed of the sale of 5,586,593 Common Shares along with warrants to purchase an aggregate of up to 5,586,593 Common Shares at a purchase price of CAD$3.58 per Common Share and associated warrant. See “</w:t>
      </w:r>
      <w:r>
        <w:rPr>
          <w:rFonts w:ascii="Arial" w:cs="Arial" w:eastAsia="Arial" w:hAnsi="Arial"/>
          <w:sz w:val="16"/>
          <w:szCs w:val="16"/>
          <w:i w:val="1"/>
          <w:iCs w:val="1"/>
          <w:color w:val="auto"/>
        </w:rPr>
        <w:t>GENERAL DEVELOPMENT OF THE BUSINESS – Three Year History – Fiscal 2021 – Private Placements</w:t>
      </w:r>
      <w:r>
        <w:rPr>
          <w:rFonts w:ascii="Arial" w:cs="Arial" w:eastAsia="Arial" w:hAnsi="Arial"/>
          <w:sz w:val="16"/>
          <w:szCs w:val="16"/>
          <w:color w:val="auto"/>
        </w:rPr>
        <w:t>”.</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February 10, 2021, the Company closed the February 2021 Offering for gross proceeds of approximately CAD$40.0 million, composed of the sale of 11,560,695 Common Shares along with warrants to purchase an aggregate of up to 11,560,695 Common Shares at a purchase price of CAD$3.46 per common share and associated warrant. See “</w:t>
      </w:r>
      <w:r>
        <w:rPr>
          <w:rFonts w:ascii="Arial" w:cs="Arial" w:eastAsia="Arial" w:hAnsi="Arial"/>
          <w:sz w:val="16"/>
          <w:szCs w:val="16"/>
          <w:i w:val="1"/>
          <w:iCs w:val="1"/>
          <w:color w:val="auto"/>
        </w:rPr>
        <w:t>GENERAL DEVELOPMENT OF THE BUSINESS – Three Year History – Fiscal 2021 – Private Placements</w:t>
      </w:r>
      <w:r>
        <w:rPr>
          <w:rFonts w:ascii="Arial" w:cs="Arial" w:eastAsia="Arial" w:hAnsi="Arial"/>
          <w:sz w:val="16"/>
          <w:szCs w:val="16"/>
          <w:color w:val="auto"/>
        </w:rPr>
        <w:t>”.</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12, 2021, the Company issued 6,221 Common Shares at a price of $0.69 per common share to a shareholder as a result of a deficiency noted in connection with the 2018 merger between Blockchain Mining Ltd. (a predecessor to the Company) and Backbone.</w:t>
      </w: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45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right="20"/>
        <w:spacing w:after="0" w:line="277" w:lineRule="auto"/>
        <w:rPr>
          <w:sz w:val="20"/>
          <w:szCs w:val="20"/>
          <w:color w:val="auto"/>
        </w:rPr>
      </w:pPr>
      <w:r>
        <w:rPr>
          <w:rFonts w:ascii="Arial" w:cs="Arial" w:eastAsia="Arial" w:hAnsi="Arial"/>
          <w:sz w:val="18"/>
          <w:szCs w:val="18"/>
          <w:color w:val="auto"/>
        </w:rPr>
        <w:t>On March 31, 2021, the Board of Directors approved a stock option grant of 50,000 options to an officer of the Company to purchase 50,000 Common Shares at an exercise price of CAD$6.39 with a term of five years from the date of the grant.</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May 20, 2021, the Company closed the May 2021 Offering for gross proceeds of approximately CAD$75.0 million, composed of the sale of 14,150,944 Common Shares along with warrants to purchase an aggregate of up to 10,613,208 Common Shares at a purchase price of CAD$5.30 per common share and associated warrant. See “</w:t>
      </w:r>
      <w:r>
        <w:rPr>
          <w:rFonts w:ascii="Arial" w:cs="Arial" w:eastAsia="Arial" w:hAnsi="Arial"/>
          <w:sz w:val="16"/>
          <w:szCs w:val="16"/>
          <w:i w:val="1"/>
          <w:iCs w:val="1"/>
          <w:color w:val="auto"/>
        </w:rPr>
        <w:t>GENERAL DEVELOPMENT OF THE BUSINESS – Three Year History – Fiscal 2021 – Private Placements</w:t>
      </w:r>
      <w:r>
        <w:rPr>
          <w:rFonts w:ascii="Arial" w:cs="Arial" w:eastAsia="Arial" w:hAnsi="Arial"/>
          <w:sz w:val="16"/>
          <w:szCs w:val="16"/>
          <w:color w:val="auto"/>
        </w:rPr>
        <w:t>”.</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3, 2021, the Board of Directors approved a stock option grant of 364,050 options to an officer of the Company to purchase 364,050 Common Shares at an exercise price of CAD$5.45 with a term of five years from the date of the grant.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June 30, 2021, the Board of Directors approved a stock option grant of 7,315,950 options to officers, directors employees and consultants of the Company to purchase 7,315,950 Common Shares at an exercise price of CAD$5.01 with a term of five years from the date of the grant.</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30, 2021, the Board of Directors approved a grant of 150,000 restricted share units to officers, directors and employees of the Company to receive 150,000 Common Shares vesting equally over three years on the anniversary of the grant date.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14, 2021, the Board of Directors approved a grant of 50,000 restricted share units to a newly hired officer and director of the Company to receive 50,000 Common Shares vesting equally over three years on the anniversary of the grant date.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9, 2021, the Company entered a purchase and sale agreement to which it purchased a facility with expansion opportunities up to 24 MW in Washington, in exchange for cash consideration of $23 million and 414,508 Common Shares issued at a price of $8.87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19, 2021, the Board of Directors approved a stock option grant of 120,000 options to newly hired officers and employees of the Company to purchase 120,000 Common Shares at an exercise price of CAD$9.81 with a term of five years from the date of the grant.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December 8, 2021, the Board of Directors approved a stock option grant of 2,750,000 options to officers, directors, employees and consultants of the Company to purchase 2,750,000 Common Shares at an exercise price of CAD$8.13 with a term of five years from the date of the grant.</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December 24, 2021, the Board of Directors approved a stock option grant of 120,000 options to newly hired employees of the Company to purchase 120,000 Common Shares at an exercise price of CAD$7.41 with a term of five years from the date of the grant.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11, 2022, in connection with the acquisition of land and a building in Sherbrooke, Québec, the Company issued 25,000 warrants to purchase Common Shares at an exercise price of $3.47 with a term of two years from the date of the issuance.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Bitfarms Canada has neither declared nor paid any dividends on its common shares since incorporation. When permitted to do so, the Bitfarms Canada Board may declare dividends at its discretion but does not anticipate paying dividends in the near future. The Bitfarms Canada Board will determine if, and when, to declare and pay dividends in the future from funds properly applicable to the payment of dividends based on Bitfarms Canada’s financial position at the relevant time. The Bitfarms Canada Board expects to retain earnings to finance future growth of Bitfarms Canada and its subsidiaries. All of the Bitfarms Shares are entitled to an equal share in any dividends declared and paid on a per share basis.</w:t>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color w:val="auto"/>
        </w:rPr>
        <w:t>46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DESCRIPTION OF CAPITAL STRUCTURE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Bitfarms Canada’s authorized share capital consists of an unlimited number of Bitfarms Shares. As of the date of this AIF there are 201,251,602 issued and outstanding Bitfarms Shares. Each Bitfarms Canada Share entitles the holder to one vote per Bitfarms Canada Share and to receive equally any dividends declared by Bitfarms Canada and the remaining property and assets of Bitfarms Canada in the event Bitfarms Canada undergoes a liquidation, dissolution, or winding up.</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February 4, 2020, shareholders approved an amendment to the articles of incorporation of the Company to authorize the issuance of class A preferred shares. As of the date of this AIF there were nil preferred shares outstanding.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FOR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Price and Volume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Bitfarms Shares were listed and posted for trading on the TSXV under the symbol “BITF”.</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out the price range and aggregate volumes traded or quoted on a monthly basis on the TSXV from January 1, 2021 to March 25,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Month</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High (CAD)</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Low (CAD)</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Volume</w:t>
            </w:r>
          </w:p>
        </w:tc>
      </w:tr>
      <w:tr>
        <w:trPr>
          <w:trHeight w:val="257"/>
        </w:trPr>
        <w:tc>
          <w:tcPr>
            <w:tcW w:w="72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March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 March 25</w:t>
            </w:r>
            <w:r>
              <w:rPr>
                <w:rFonts w:ascii="Arial" w:cs="Arial" w:eastAsia="Arial" w:hAnsi="Arial"/>
                <w:sz w:val="29"/>
                <w:szCs w:val="29"/>
                <w:color w:val="auto"/>
                <w:vertAlign w:val="superscript"/>
              </w:rPr>
              <w:t>th</w:t>
            </w:r>
            <w:r>
              <w:rPr>
                <w:rFonts w:ascii="Arial" w:cs="Arial" w:eastAsia="Arial" w:hAnsi="Arial"/>
                <w:sz w:val="18"/>
                <w:szCs w:val="18"/>
                <w:color w:val="auto"/>
              </w:rPr>
              <w:t>, 2022</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20,029,296</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February 2022</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5.85</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3.53</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29,568,400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2022</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6.83</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27,579,700</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December 2021</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10.36</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5.70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28,231,400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2021</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11.60</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6.52</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42,866,800</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October 2021</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7.56</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5.83</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27,463,400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2021</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8.40</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25,757,200</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August 2021</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9.34</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5.09</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36,943,700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2021</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5.49</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23,004,500</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June 2021</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5.83</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4.14</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27,284,200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2021</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8.88</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47,618,200</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April 2021</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6.82</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3.61</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29,422,900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2021</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7.42</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44,398,600</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February 2021</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9.34</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3.05</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64,291,100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2021</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5.18</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68,433,900</w:t>
            </w:r>
          </w:p>
        </w:tc>
      </w:tr>
    </w:tbl>
    <w:p>
      <w:pPr>
        <w:spacing w:after="0" w:line="205" w:lineRule="exact"/>
        <w:rPr>
          <w:sz w:val="20"/>
          <w:szCs w:val="20"/>
          <w:color w:val="auto"/>
        </w:rPr>
      </w:pPr>
    </w:p>
    <w:p>
      <w:pPr>
        <w:jc w:val="both"/>
        <w:ind w:right="20"/>
        <w:spacing w:after="0" w:line="214" w:lineRule="auto"/>
        <w:rPr>
          <w:sz w:val="20"/>
          <w:szCs w:val="20"/>
          <w:color w:val="auto"/>
        </w:rPr>
      </w:pPr>
      <w:r>
        <w:rPr>
          <w:rFonts w:ascii="Arial" w:cs="Arial" w:eastAsia="Arial" w:hAnsi="Arial"/>
          <w:sz w:val="18"/>
          <w:szCs w:val="18"/>
          <w:color w:val="auto"/>
        </w:rPr>
        <w:t>The Bitfarms Shares were listed and posted for trading on the OTCBB under the symbol “BFARF” until June 21</w:t>
      </w:r>
      <w:r>
        <w:rPr>
          <w:rFonts w:ascii="Arial" w:cs="Arial" w:eastAsia="Arial" w:hAnsi="Arial"/>
          <w:sz w:val="29"/>
          <w:szCs w:val="29"/>
          <w:color w:val="auto"/>
          <w:vertAlign w:val="superscript"/>
        </w:rPr>
        <w:t>st</w:t>
      </w:r>
      <w:r>
        <w:rPr>
          <w:rFonts w:ascii="Arial" w:cs="Arial" w:eastAsia="Arial" w:hAnsi="Arial"/>
          <w:sz w:val="18"/>
          <w:szCs w:val="18"/>
          <w:color w:val="auto"/>
        </w:rPr>
        <w:t>, 2021 when the shares were delisted in connection with the Nasdaq listing.</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47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ind w:right="20"/>
        <w:spacing w:after="0" w:line="214" w:lineRule="auto"/>
        <w:rPr>
          <w:sz w:val="20"/>
          <w:szCs w:val="20"/>
          <w:color w:val="auto"/>
        </w:rPr>
      </w:pPr>
      <w:r>
        <w:rPr>
          <w:rFonts w:ascii="Arial" w:cs="Arial" w:eastAsia="Arial" w:hAnsi="Arial"/>
          <w:sz w:val="18"/>
          <w:szCs w:val="18"/>
          <w:color w:val="auto"/>
        </w:rPr>
        <w:t>The following table sets out the price range and aggregate volumes traded or quoted on a monthly basis on the OTCBB from January 1, 2021 to June 21</w:t>
      </w:r>
      <w:r>
        <w:rPr>
          <w:rFonts w:ascii="Arial" w:cs="Arial" w:eastAsia="Arial" w:hAnsi="Arial"/>
          <w:sz w:val="29"/>
          <w:szCs w:val="29"/>
          <w:color w:val="auto"/>
          <w:vertAlign w:val="superscript"/>
        </w:rPr>
        <w:t>st</w:t>
      </w:r>
      <w:r>
        <w:rPr>
          <w:rFonts w:ascii="Arial" w:cs="Arial" w:eastAsia="Arial" w:hAnsi="Arial"/>
          <w:sz w:val="18"/>
          <w:szCs w:val="18"/>
          <w:color w:val="auto"/>
        </w:rPr>
        <w:t>,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Month</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High (USD)</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Low (USD)</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Volume</w:t>
            </w:r>
          </w:p>
        </w:tc>
        <w:tc>
          <w:tcPr>
            <w:tcW w:w="100" w:type="dxa"/>
            <w:vAlign w:val="bottom"/>
            <w:tcBorders>
              <w:bottom w:val="single" w:sz="8" w:color="CCEEFF"/>
            </w:tcBorders>
          </w:tcPr>
          <w:p>
            <w:pPr>
              <w:spacing w:after="0"/>
              <w:rPr>
                <w:sz w:val="20"/>
                <w:szCs w:val="20"/>
                <w:color w:val="auto"/>
              </w:rPr>
            </w:pPr>
          </w:p>
        </w:tc>
      </w:tr>
      <w:tr>
        <w:trPr>
          <w:trHeight w:val="257"/>
        </w:trPr>
        <w:tc>
          <w:tcPr>
            <w:tcW w:w="72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June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 June 21</w:t>
            </w:r>
            <w:r>
              <w:rPr>
                <w:rFonts w:ascii="Arial" w:cs="Arial" w:eastAsia="Arial" w:hAnsi="Arial"/>
                <w:sz w:val="29"/>
                <w:szCs w:val="29"/>
                <w:color w:val="auto"/>
                <w:vertAlign w:val="superscript"/>
              </w:rPr>
              <w:t>st</w:t>
            </w:r>
            <w:r>
              <w:rPr>
                <w:rFonts w:ascii="Arial" w:cs="Arial" w:eastAsia="Arial" w:hAnsi="Arial"/>
                <w:sz w:val="18"/>
                <w:szCs w:val="18"/>
                <w:color w:val="auto"/>
              </w:rPr>
              <w:t>, 2021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11,479,661</w:t>
            </w:r>
          </w:p>
        </w:tc>
        <w:tc>
          <w:tcPr>
            <w:tcW w:w="100" w:type="dxa"/>
            <w:vAlign w:val="bottom"/>
            <w:shd w:val="clear" w:color="auto" w:fill="CCEEFF"/>
          </w:tcPr>
          <w:p>
            <w:pPr>
              <w:spacing w:after="0"/>
              <w:rPr>
                <w:sz w:val="22"/>
                <w:szCs w:val="22"/>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May 2021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41,140,366</w:t>
            </w: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20,964,308</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March 2021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3.63</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26,814,012</w:t>
            </w: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41,815,817</w:t>
            </w:r>
          </w:p>
        </w:tc>
        <w:tc>
          <w:tcPr>
            <w:tcW w:w="100" w:type="dxa"/>
            <w:vAlign w:val="bottom"/>
            <w:shd w:val="clear" w:color="auto" w:fill="CCEEFF"/>
          </w:tcPr>
          <w:p>
            <w:pPr>
              <w:spacing w:after="0"/>
              <w:rPr>
                <w:sz w:val="18"/>
                <w:szCs w:val="18"/>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January 2021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1.78</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34,651,882</w:t>
            </w:r>
          </w:p>
        </w:tc>
        <w:tc>
          <w:tcPr>
            <w:tcW w:w="100" w:type="dxa"/>
            <w:vAlign w:val="bottom"/>
          </w:tcPr>
          <w:p>
            <w:pPr>
              <w:spacing w:after="0"/>
              <w:rPr>
                <w:sz w:val="20"/>
                <w:szCs w:val="20"/>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Bitfarms Shares were also listed and posted for trading on the Nasdaq Exchange under the symbol “BITF” on June 21</w:t>
      </w:r>
      <w:r>
        <w:rPr>
          <w:rFonts w:ascii="Arial" w:cs="Arial" w:eastAsia="Arial" w:hAnsi="Arial"/>
          <w:sz w:val="29"/>
          <w:szCs w:val="29"/>
          <w:color w:val="auto"/>
          <w:vertAlign w:val="superscript"/>
        </w:rPr>
        <w:t>st</w:t>
      </w:r>
      <w:r>
        <w:rPr>
          <w:rFonts w:ascii="Arial" w:cs="Arial" w:eastAsia="Arial" w:hAnsi="Arial"/>
          <w:sz w:val="18"/>
          <w:szCs w:val="18"/>
          <w:color w:val="auto"/>
        </w:rPr>
        <w:t>, 2021.</w:t>
      </w:r>
    </w:p>
    <w:p>
      <w:pPr>
        <w:spacing w:after="0" w:line="139"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The following table sets out the price range and aggregate volumes traded or quoted on a monthly basis on the Nasdaq from June 21</w:t>
      </w:r>
      <w:r>
        <w:rPr>
          <w:rFonts w:ascii="Arial" w:cs="Arial" w:eastAsia="Arial" w:hAnsi="Arial"/>
          <w:sz w:val="29"/>
          <w:szCs w:val="29"/>
          <w:color w:val="auto"/>
          <w:vertAlign w:val="superscript"/>
        </w:rPr>
        <w:t>st</w:t>
      </w:r>
      <w:r>
        <w:rPr>
          <w:rFonts w:ascii="Arial" w:cs="Arial" w:eastAsia="Arial" w:hAnsi="Arial"/>
          <w:sz w:val="18"/>
          <w:szCs w:val="18"/>
          <w:color w:val="auto"/>
        </w:rPr>
        <w:t>, 2021 to March 25,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Month</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High (USD)</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Low (USD)</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Volume</w:t>
            </w:r>
          </w:p>
        </w:tc>
      </w:tr>
      <w:tr>
        <w:trPr>
          <w:trHeight w:val="257"/>
        </w:trPr>
        <w:tc>
          <w:tcPr>
            <w:tcW w:w="72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March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 March 25</w:t>
            </w:r>
            <w:r>
              <w:rPr>
                <w:rFonts w:ascii="Arial" w:cs="Arial" w:eastAsia="Arial" w:hAnsi="Arial"/>
                <w:sz w:val="29"/>
                <w:szCs w:val="29"/>
                <w:color w:val="auto"/>
                <w:vertAlign w:val="superscript"/>
              </w:rPr>
              <w:t>th</w:t>
            </w:r>
            <w:r>
              <w:rPr>
                <w:rFonts w:ascii="Arial" w:cs="Arial" w:eastAsia="Arial" w:hAnsi="Arial"/>
                <w:sz w:val="18"/>
                <w:szCs w:val="18"/>
                <w:color w:val="auto"/>
              </w:rPr>
              <w:t>, 2022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96,950,900</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February 2022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4.62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143,803,500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141,032,700</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December 2021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8.13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4.41</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159,075,400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226,101,900</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October 2021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6.14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149,457,100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130,436,800</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August 2021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7.47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4.06</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173,340,200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45,848,000</w:t>
            </w:r>
          </w:p>
        </w:tc>
      </w:tr>
      <w:tr>
        <w:trPr>
          <w:trHeight w:val="390"/>
        </w:trPr>
        <w:tc>
          <w:tcPr>
            <w:tcW w:w="7320" w:type="dxa"/>
            <w:vAlign w:val="bottom"/>
            <w:gridSpan w:val="2"/>
          </w:tcPr>
          <w:p>
            <w:pPr>
              <w:spacing w:after="0"/>
              <w:rPr>
                <w:sz w:val="20"/>
                <w:szCs w:val="20"/>
                <w:color w:val="auto"/>
              </w:rPr>
            </w:pPr>
            <w:r>
              <w:rPr>
                <w:rFonts w:ascii="Arial" w:cs="Arial" w:eastAsia="Arial" w:hAnsi="Arial"/>
                <w:sz w:val="18"/>
                <w:szCs w:val="18"/>
                <w:color w:val="auto"/>
              </w:rPr>
              <w:t>June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2021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4.47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19,778,900</w:t>
            </w:r>
          </w:p>
        </w:tc>
      </w:tr>
    </w:tbl>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ESCROWED SECURITIES AND SECURITIES SUBJECT TO CONTRACTUAL RESTRICTION ON TRANSFER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of the date of this AIF, there are no securities of the Company which are currently held in escrow or subject to a contractual restriction on transfer.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48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DIRECTORS AND OFFICERS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out the name of each director and officer, province or state of residence, position held with each corporation, current principal occupation, and the number and percentage of securities beneficially owned, directly or indirectly as at the date of this AIF.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5829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shd w:val="clear" w:color="auto" w:fill="F2F2F2"/>
          </w:tcPr>
          <w:p>
            <w:pPr>
              <w:spacing w:after="0"/>
              <w:rPr>
                <w:sz w:val="20"/>
                <w:szCs w:val="20"/>
                <w:color w:val="auto"/>
              </w:rPr>
            </w:pPr>
            <w:r>
              <w:rPr>
                <w:rFonts w:ascii="Arial" w:cs="Arial" w:eastAsia="Arial" w:hAnsi="Arial"/>
                <w:sz w:val="18"/>
                <w:szCs w:val="18"/>
                <w:b w:val="1"/>
                <w:bCs w:val="1"/>
                <w:color w:val="auto"/>
              </w:rPr>
              <w:t>Name, and</w:t>
            </w:r>
          </w:p>
        </w:tc>
        <w:tc>
          <w:tcPr>
            <w:tcW w:w="240" w:type="dxa"/>
            <w:vAlign w:val="bottom"/>
            <w:shd w:val="clear" w:color="auto" w:fill="F2F2F2"/>
          </w:tcPr>
          <w:p>
            <w:pPr>
              <w:spacing w:after="0"/>
              <w:rPr>
                <w:sz w:val="17"/>
                <w:szCs w:val="17"/>
                <w:color w:val="auto"/>
              </w:rPr>
            </w:pPr>
          </w:p>
        </w:tc>
        <w:tc>
          <w:tcPr>
            <w:tcW w:w="606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1460" w:type="dxa"/>
            <w:vAlign w:val="bottom"/>
            <w:shd w:val="clear" w:color="auto" w:fill="F2F2F2"/>
          </w:tcPr>
          <w:p>
            <w:pPr>
              <w:spacing w:after="0"/>
              <w:rPr>
                <w:sz w:val="17"/>
                <w:szCs w:val="17"/>
                <w:color w:val="auto"/>
              </w:rPr>
            </w:pPr>
          </w:p>
        </w:tc>
        <w:tc>
          <w:tcPr>
            <w:tcW w:w="220" w:type="dxa"/>
            <w:vAlign w:val="bottom"/>
            <w:shd w:val="clear" w:color="auto" w:fill="F2F2F2"/>
          </w:tcPr>
          <w:p>
            <w:pPr>
              <w:spacing w:after="0"/>
              <w:rPr>
                <w:sz w:val="17"/>
                <w:szCs w:val="17"/>
                <w:color w:val="auto"/>
              </w:rPr>
            </w:pPr>
          </w:p>
        </w:tc>
        <w:tc>
          <w:tcPr>
            <w:tcW w:w="112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2"/>
              </w:rPr>
              <w:t>Common</w:t>
            </w:r>
          </w:p>
        </w:tc>
        <w:tc>
          <w:tcPr>
            <w:tcW w:w="0" w:type="dxa"/>
            <w:vAlign w:val="bottom"/>
          </w:tcPr>
          <w:p>
            <w:pPr>
              <w:spacing w:after="0"/>
              <w:rPr>
                <w:sz w:val="1"/>
                <w:szCs w:val="1"/>
                <w:color w:val="auto"/>
              </w:rPr>
            </w:pPr>
          </w:p>
        </w:tc>
      </w:tr>
      <w:tr>
        <w:trPr>
          <w:trHeight w:val="216"/>
        </w:trPr>
        <w:tc>
          <w:tcPr>
            <w:tcW w:w="1920" w:type="dxa"/>
            <w:vAlign w:val="bottom"/>
            <w:shd w:val="clear" w:color="auto" w:fill="F2F2F2"/>
          </w:tcPr>
          <w:p>
            <w:pPr>
              <w:spacing w:after="0"/>
              <w:rPr>
                <w:sz w:val="20"/>
                <w:szCs w:val="20"/>
                <w:color w:val="auto"/>
              </w:rPr>
            </w:pPr>
            <w:r>
              <w:rPr>
                <w:rFonts w:ascii="Arial" w:cs="Arial" w:eastAsia="Arial" w:hAnsi="Arial"/>
                <w:sz w:val="18"/>
                <w:szCs w:val="18"/>
                <w:b w:val="1"/>
                <w:bCs w:val="1"/>
                <w:color w:val="auto"/>
              </w:rPr>
              <w:t>Province and</w:t>
            </w:r>
          </w:p>
        </w:tc>
        <w:tc>
          <w:tcPr>
            <w:tcW w:w="240" w:type="dxa"/>
            <w:vAlign w:val="bottom"/>
            <w:shd w:val="clear" w:color="auto" w:fill="F2F2F2"/>
          </w:tcPr>
          <w:p>
            <w:pPr>
              <w:spacing w:after="0"/>
              <w:rPr>
                <w:sz w:val="18"/>
                <w:szCs w:val="18"/>
                <w:color w:val="auto"/>
              </w:rPr>
            </w:pPr>
          </w:p>
        </w:tc>
        <w:tc>
          <w:tcPr>
            <w:tcW w:w="6060" w:type="dxa"/>
            <w:vAlign w:val="bottom"/>
            <w:shd w:val="clear" w:color="auto" w:fill="F2F2F2"/>
          </w:tcPr>
          <w:p>
            <w:pPr>
              <w:spacing w:after="0"/>
              <w:rPr>
                <w:sz w:val="18"/>
                <w:szCs w:val="18"/>
                <w:color w:val="auto"/>
              </w:rPr>
            </w:pPr>
          </w:p>
        </w:tc>
        <w:tc>
          <w:tcPr>
            <w:tcW w:w="220" w:type="dxa"/>
            <w:vAlign w:val="bottom"/>
            <w:shd w:val="clear" w:color="auto" w:fill="F2F2F2"/>
          </w:tcPr>
          <w:p>
            <w:pPr>
              <w:spacing w:after="0"/>
              <w:rPr>
                <w:sz w:val="18"/>
                <w:szCs w:val="18"/>
                <w:color w:val="auto"/>
              </w:rPr>
            </w:pPr>
          </w:p>
        </w:tc>
        <w:tc>
          <w:tcPr>
            <w:tcW w:w="1460" w:type="dxa"/>
            <w:vAlign w:val="bottom"/>
            <w:shd w:val="clear" w:color="auto" w:fill="F2F2F2"/>
          </w:tcPr>
          <w:p>
            <w:pPr>
              <w:spacing w:after="0"/>
              <w:rPr>
                <w:sz w:val="18"/>
                <w:szCs w:val="18"/>
                <w:color w:val="auto"/>
              </w:rPr>
            </w:pPr>
          </w:p>
        </w:tc>
        <w:tc>
          <w:tcPr>
            <w:tcW w:w="220" w:type="dxa"/>
            <w:vAlign w:val="bottom"/>
            <w:shd w:val="clear" w:color="auto" w:fill="F2F2F2"/>
          </w:tcPr>
          <w:p>
            <w:pPr>
              <w:spacing w:after="0"/>
              <w:rPr>
                <w:sz w:val="18"/>
                <w:szCs w:val="18"/>
                <w:color w:val="auto"/>
              </w:rPr>
            </w:pPr>
          </w:p>
        </w:tc>
        <w:tc>
          <w:tcPr>
            <w:tcW w:w="112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16"/>
        </w:trPr>
        <w:tc>
          <w:tcPr>
            <w:tcW w:w="1920" w:type="dxa"/>
            <w:vAlign w:val="bottom"/>
            <w:shd w:val="clear" w:color="auto" w:fill="F2F2F2"/>
          </w:tcPr>
          <w:p>
            <w:pPr>
              <w:spacing w:after="0"/>
              <w:rPr>
                <w:sz w:val="20"/>
                <w:szCs w:val="20"/>
                <w:color w:val="auto"/>
              </w:rPr>
            </w:pPr>
            <w:r>
              <w:rPr>
                <w:rFonts w:ascii="Arial" w:cs="Arial" w:eastAsia="Arial" w:hAnsi="Arial"/>
                <w:sz w:val="18"/>
                <w:szCs w:val="18"/>
                <w:b w:val="1"/>
                <w:bCs w:val="1"/>
                <w:color w:val="auto"/>
              </w:rPr>
              <w:t>Country of</w:t>
            </w:r>
          </w:p>
        </w:tc>
        <w:tc>
          <w:tcPr>
            <w:tcW w:w="240" w:type="dxa"/>
            <w:vAlign w:val="bottom"/>
            <w:shd w:val="clear" w:color="auto" w:fill="F2F2F2"/>
          </w:tcPr>
          <w:p>
            <w:pPr>
              <w:spacing w:after="0"/>
              <w:rPr>
                <w:sz w:val="18"/>
                <w:szCs w:val="18"/>
                <w:color w:val="auto"/>
              </w:rPr>
            </w:pPr>
          </w:p>
        </w:tc>
        <w:tc>
          <w:tcPr>
            <w:tcW w:w="6280" w:type="dxa"/>
            <w:vAlign w:val="bottom"/>
            <w:gridSpan w:val="2"/>
            <w:vMerge w:val="restart"/>
            <w:shd w:val="clear" w:color="auto" w:fill="F2F2F2"/>
          </w:tcPr>
          <w:p>
            <w:pPr>
              <w:ind w:left="1060"/>
              <w:spacing w:after="0"/>
              <w:rPr>
                <w:sz w:val="20"/>
                <w:szCs w:val="20"/>
                <w:color w:val="auto"/>
              </w:rPr>
            </w:pPr>
            <w:r>
              <w:rPr>
                <w:rFonts w:ascii="Arial" w:cs="Arial" w:eastAsia="Arial" w:hAnsi="Arial"/>
                <w:sz w:val="18"/>
                <w:szCs w:val="18"/>
                <w:b w:val="1"/>
                <w:bCs w:val="1"/>
                <w:color w:val="auto"/>
              </w:rPr>
              <w:t>Principal Occupation During the Last Five Years</w:t>
            </w:r>
            <w:r>
              <w:rPr>
                <w:rFonts w:ascii="Arial" w:cs="Arial" w:eastAsia="Arial" w:hAnsi="Arial"/>
                <w:sz w:val="29"/>
                <w:szCs w:val="29"/>
                <w:b w:val="1"/>
                <w:bCs w:val="1"/>
                <w:color w:val="auto"/>
                <w:vertAlign w:val="superscript"/>
              </w:rPr>
              <w:t>(1)</w:t>
            </w:r>
          </w:p>
        </w:tc>
        <w:tc>
          <w:tcPr>
            <w:tcW w:w="1680" w:type="dxa"/>
            <w:vAlign w:val="bottom"/>
            <w:gridSpan w:val="2"/>
            <w:shd w:val="clear" w:color="auto" w:fill="F2F2F2"/>
          </w:tcPr>
          <w:p>
            <w:pPr>
              <w:jc w:val="center"/>
              <w:ind w:right="260"/>
              <w:spacing w:after="0"/>
              <w:rPr>
                <w:sz w:val="20"/>
                <w:szCs w:val="20"/>
                <w:color w:val="auto"/>
              </w:rPr>
            </w:pPr>
            <w:r>
              <w:rPr>
                <w:rFonts w:ascii="Arial" w:cs="Arial" w:eastAsia="Arial" w:hAnsi="Arial"/>
                <w:sz w:val="18"/>
                <w:szCs w:val="18"/>
                <w:b w:val="1"/>
                <w:bCs w:val="1"/>
                <w:color w:val="auto"/>
                <w:w w:val="93"/>
              </w:rPr>
              <w:t>Director or</w:t>
            </w:r>
          </w:p>
        </w:tc>
        <w:tc>
          <w:tcPr>
            <w:tcW w:w="112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1"/>
              </w:rPr>
              <w:t>Owned or</w:t>
            </w:r>
          </w:p>
        </w:tc>
        <w:tc>
          <w:tcPr>
            <w:tcW w:w="0" w:type="dxa"/>
            <w:vAlign w:val="bottom"/>
          </w:tcPr>
          <w:p>
            <w:pPr>
              <w:spacing w:after="0"/>
              <w:rPr>
                <w:sz w:val="1"/>
                <w:szCs w:val="1"/>
                <w:color w:val="auto"/>
              </w:rPr>
            </w:pPr>
          </w:p>
        </w:tc>
      </w:tr>
      <w:tr>
        <w:trPr>
          <w:trHeight w:val="277"/>
        </w:trPr>
        <w:tc>
          <w:tcPr>
            <w:tcW w:w="1920" w:type="dxa"/>
            <w:vAlign w:val="bottom"/>
            <w:shd w:val="clear" w:color="auto" w:fill="F2F2F2"/>
          </w:tcPr>
          <w:p>
            <w:pPr>
              <w:spacing w:after="0"/>
              <w:rPr>
                <w:sz w:val="20"/>
                <w:szCs w:val="20"/>
                <w:color w:val="auto"/>
              </w:rPr>
            </w:pPr>
            <w:r>
              <w:rPr>
                <w:rFonts w:ascii="Arial" w:cs="Arial" w:eastAsia="Arial" w:hAnsi="Arial"/>
                <w:sz w:val="18"/>
                <w:szCs w:val="18"/>
                <w:b w:val="1"/>
                <w:bCs w:val="1"/>
                <w:color w:val="auto"/>
              </w:rPr>
              <w:t>Residence</w:t>
            </w:r>
          </w:p>
        </w:tc>
        <w:tc>
          <w:tcPr>
            <w:tcW w:w="240" w:type="dxa"/>
            <w:vAlign w:val="bottom"/>
            <w:shd w:val="clear" w:color="auto" w:fill="F2F2F2"/>
          </w:tcPr>
          <w:p>
            <w:pPr>
              <w:spacing w:after="0"/>
              <w:rPr>
                <w:sz w:val="24"/>
                <w:szCs w:val="24"/>
                <w:color w:val="auto"/>
              </w:rPr>
            </w:pPr>
          </w:p>
        </w:tc>
        <w:tc>
          <w:tcPr>
            <w:tcW w:w="6280" w:type="dxa"/>
            <w:vAlign w:val="bottom"/>
            <w:gridSpan w:val="2"/>
            <w:vMerge w:val="continue"/>
            <w:shd w:val="clear" w:color="auto" w:fill="F2F2F2"/>
          </w:tcPr>
          <w:p>
            <w:pPr>
              <w:spacing w:after="0"/>
              <w:rPr>
                <w:sz w:val="24"/>
                <w:szCs w:val="24"/>
                <w:color w:val="auto"/>
              </w:rPr>
            </w:pPr>
          </w:p>
        </w:tc>
        <w:tc>
          <w:tcPr>
            <w:tcW w:w="1680" w:type="dxa"/>
            <w:vAlign w:val="bottom"/>
            <w:gridSpan w:val="2"/>
            <w:shd w:val="clear" w:color="auto" w:fill="F2F2F2"/>
          </w:tcPr>
          <w:p>
            <w:pPr>
              <w:jc w:val="center"/>
              <w:ind w:right="200"/>
              <w:spacing w:after="0"/>
              <w:rPr>
                <w:sz w:val="20"/>
                <w:szCs w:val="20"/>
                <w:color w:val="auto"/>
              </w:rPr>
            </w:pPr>
            <w:r>
              <w:rPr>
                <w:rFonts w:ascii="Arial" w:cs="Arial" w:eastAsia="Arial" w:hAnsi="Arial"/>
                <w:sz w:val="18"/>
                <w:szCs w:val="18"/>
                <w:b w:val="1"/>
                <w:bCs w:val="1"/>
                <w:color w:val="auto"/>
                <w:w w:val="90"/>
              </w:rPr>
              <w:t>Officer Since</w:t>
            </w:r>
          </w:p>
        </w:tc>
        <w:tc>
          <w:tcPr>
            <w:tcW w:w="1120" w:type="dxa"/>
            <w:vAlign w:val="bottom"/>
            <w:shd w:val="clear" w:color="auto" w:fill="F2F2F2"/>
          </w:tcPr>
          <w:p>
            <w:pPr>
              <w:jc w:val="center"/>
              <w:spacing w:after="0" w:line="270" w:lineRule="exact"/>
              <w:rPr>
                <w:sz w:val="20"/>
                <w:szCs w:val="20"/>
                <w:color w:val="auto"/>
              </w:rPr>
            </w:pPr>
            <w:r>
              <w:rPr>
                <w:rFonts w:ascii="Arial" w:cs="Arial" w:eastAsia="Arial" w:hAnsi="Arial"/>
                <w:sz w:val="18"/>
                <w:szCs w:val="18"/>
                <w:b w:val="1"/>
                <w:bCs w:val="1"/>
                <w:color w:val="auto"/>
                <w:w w:val="87"/>
              </w:rPr>
              <w:t>Controlled</w:t>
            </w:r>
            <w:r>
              <w:rPr>
                <w:rFonts w:ascii="Arial" w:cs="Arial" w:eastAsia="Arial" w:hAnsi="Arial"/>
                <w:sz w:val="29"/>
                <w:szCs w:val="29"/>
                <w:b w:val="1"/>
                <w:bCs w:val="1"/>
                <w:color w:val="auto"/>
                <w:w w:val="87"/>
                <w:vertAlign w:val="superscript"/>
              </w:rPr>
              <w:t>(1)</w:t>
            </w:r>
          </w:p>
        </w:tc>
        <w:tc>
          <w:tcPr>
            <w:tcW w:w="0" w:type="dxa"/>
            <w:vAlign w:val="bottom"/>
          </w:tcPr>
          <w:p>
            <w:pPr>
              <w:spacing w:after="0"/>
              <w:rPr>
                <w:sz w:val="1"/>
                <w:szCs w:val="1"/>
                <w:color w:val="auto"/>
              </w:rPr>
            </w:pPr>
          </w:p>
        </w:tc>
      </w:tr>
      <w:tr>
        <w:trPr>
          <w:trHeight w:val="202"/>
        </w:trPr>
        <w:tc>
          <w:tcPr>
            <w:tcW w:w="19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Emiliano Joel Grodzki</w:t>
            </w:r>
          </w:p>
        </w:tc>
        <w:tc>
          <w:tcPr>
            <w:tcW w:w="240" w:type="dxa"/>
            <w:vAlign w:val="bottom"/>
            <w:tcBorders>
              <w:top w:val="single" w:sz="8" w:color="CCEEFF"/>
            </w:tcBorders>
            <w:shd w:val="clear" w:color="auto" w:fill="CCEEFF"/>
          </w:tcPr>
          <w:p>
            <w:pPr>
              <w:spacing w:after="0"/>
              <w:rPr>
                <w:sz w:val="17"/>
                <w:szCs w:val="17"/>
                <w:color w:val="auto"/>
              </w:rPr>
            </w:pPr>
          </w:p>
        </w:tc>
        <w:tc>
          <w:tcPr>
            <w:tcW w:w="60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5"/>
              </w:rPr>
              <w:t>CEO, Founder and Director of the Company (2017 – present); Consultant in the</w:t>
            </w:r>
          </w:p>
        </w:tc>
        <w:tc>
          <w:tcPr>
            <w:tcW w:w="2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October 11, 2018</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9,869,772</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7"/>
              </w:rPr>
              <w:t>Buenos Aires, Argentina</w:t>
            </w:r>
          </w:p>
        </w:tc>
        <w:tc>
          <w:tcPr>
            <w:tcW w:w="65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4"/>
              </w:rPr>
              <w:t>cryptocurrency sector; Founder and Director of cripto247 (2018 – present); Founder</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spacing w:after="0"/>
              <w:rPr>
                <w:sz w:val="20"/>
                <w:szCs w:val="20"/>
                <w:color w:val="auto"/>
              </w:rPr>
            </w:pPr>
          </w:p>
        </w:tc>
        <w:tc>
          <w:tcPr>
            <w:tcW w:w="65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and Commercial Director of My Urban Foods (2012 –2015).</w:t>
            </w: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20" w:type="dxa"/>
            <w:vAlign w:val="bottom"/>
          </w:tcPr>
          <w:p>
            <w:pPr>
              <w:spacing w:after="0" w:line="201" w:lineRule="exact"/>
              <w:rPr>
                <w:sz w:val="20"/>
                <w:szCs w:val="20"/>
                <w:color w:val="auto"/>
              </w:rPr>
            </w:pPr>
            <w:r>
              <w:rPr>
                <w:rFonts w:ascii="Arial" w:cs="Arial" w:eastAsia="Arial" w:hAnsi="Arial"/>
                <w:sz w:val="18"/>
                <w:szCs w:val="18"/>
                <w:color w:val="auto"/>
              </w:rPr>
              <w:t>Nicolas Bonta</w:t>
            </w:r>
          </w:p>
        </w:tc>
        <w:tc>
          <w:tcPr>
            <w:tcW w:w="6520" w:type="dxa"/>
            <w:vAlign w:val="bottom"/>
            <w:gridSpan w:val="3"/>
          </w:tcPr>
          <w:p>
            <w:pPr>
              <w:ind w:left="240"/>
              <w:spacing w:after="0" w:line="201" w:lineRule="exact"/>
              <w:rPr>
                <w:sz w:val="20"/>
                <w:szCs w:val="20"/>
                <w:color w:val="auto"/>
              </w:rPr>
            </w:pPr>
            <w:r>
              <w:rPr>
                <w:rFonts w:ascii="Arial" w:cs="Arial" w:eastAsia="Arial" w:hAnsi="Arial"/>
                <w:sz w:val="18"/>
                <w:szCs w:val="18"/>
                <w:color w:val="auto"/>
                <w:w w:val="96"/>
              </w:rPr>
              <w:t>Executive Chairman of the Board and Founder of the Company (2018 – present);</w:t>
            </w:r>
          </w:p>
        </w:tc>
        <w:tc>
          <w:tcPr>
            <w:tcW w:w="168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October 11, 2018</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89"/>
              </w:rPr>
              <w:t>8,862,118</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i w:val="1"/>
                <w:iCs w:val="1"/>
                <w:color w:val="auto"/>
                <w:w w:val="97"/>
              </w:rPr>
              <w:t>Buenos Aires, Argentina</w:t>
            </w:r>
          </w:p>
        </w:tc>
        <w:tc>
          <w:tcPr>
            <w:tcW w:w="6520" w:type="dxa"/>
            <w:vAlign w:val="bottom"/>
            <w:gridSpan w:val="3"/>
          </w:tcPr>
          <w:p>
            <w:pPr>
              <w:ind w:left="240"/>
              <w:spacing w:after="0"/>
              <w:rPr>
                <w:sz w:val="20"/>
                <w:szCs w:val="20"/>
                <w:color w:val="auto"/>
              </w:rPr>
            </w:pPr>
            <w:r>
              <w:rPr>
                <w:rFonts w:ascii="Arial" w:cs="Arial" w:eastAsia="Arial" w:hAnsi="Arial"/>
                <w:sz w:val="18"/>
                <w:szCs w:val="18"/>
                <w:color w:val="auto"/>
              </w:rPr>
              <w:t>Founder and CEO of Own Hotels (2006 – present).</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Brian Howlett</w:t>
            </w:r>
            <w:r>
              <w:rPr>
                <w:rFonts w:ascii="Arial" w:cs="Arial" w:eastAsia="Arial" w:hAnsi="Arial"/>
                <w:sz w:val="23"/>
                <w:szCs w:val="23"/>
                <w:color w:val="auto"/>
                <w:vertAlign w:val="superscript"/>
              </w:rPr>
              <w:t>(2)</w:t>
            </w:r>
          </w:p>
        </w:tc>
        <w:tc>
          <w:tcPr>
            <w:tcW w:w="6520" w:type="dxa"/>
            <w:vAlign w:val="bottom"/>
            <w:gridSpan w:val="3"/>
            <w:shd w:val="clear" w:color="auto" w:fill="CCEEFF"/>
          </w:tcPr>
          <w:p>
            <w:pPr>
              <w:ind w:left="240"/>
              <w:spacing w:after="0" w:line="202" w:lineRule="exact"/>
              <w:rPr>
                <w:sz w:val="20"/>
                <w:szCs w:val="20"/>
                <w:color w:val="auto"/>
              </w:rPr>
            </w:pPr>
            <w:r>
              <w:rPr>
                <w:rFonts w:ascii="Arial" w:cs="Arial" w:eastAsia="Arial" w:hAnsi="Arial"/>
                <w:sz w:val="18"/>
                <w:szCs w:val="18"/>
                <w:color w:val="auto"/>
              </w:rPr>
              <w:t>Lead Director of the Company (2020 – present); President and CEO of Hemlo</w:t>
            </w:r>
          </w:p>
        </w:tc>
        <w:tc>
          <w:tcPr>
            <w:tcW w:w="168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w w:val="95"/>
              </w:rPr>
              <w:t>April 17, 2020</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2,000</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Ontario, Canada</w:t>
            </w:r>
          </w:p>
        </w:tc>
        <w:tc>
          <w:tcPr>
            <w:tcW w:w="65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4"/>
              </w:rPr>
              <w:t>Explorers Inc. (2020 – present); President and CEO of Voyageur Mineral Explorers</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920" w:type="dxa"/>
            <w:vAlign w:val="bottom"/>
            <w:shd w:val="clear" w:color="auto" w:fill="CCEEFF"/>
          </w:tcPr>
          <w:p>
            <w:pPr>
              <w:spacing w:after="0"/>
              <w:rPr>
                <w:sz w:val="18"/>
                <w:szCs w:val="18"/>
                <w:color w:val="auto"/>
              </w:rPr>
            </w:pPr>
          </w:p>
        </w:tc>
        <w:tc>
          <w:tcPr>
            <w:tcW w:w="65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5"/>
              </w:rPr>
              <w:t>Corp. (2020 – 2021); Director of Nighthawk Gold Corp. (2016 – present); President</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18"/>
                <w:szCs w:val="18"/>
                <w:color w:val="auto"/>
              </w:rPr>
            </w:pPr>
          </w:p>
        </w:tc>
        <w:tc>
          <w:tcPr>
            <w:tcW w:w="65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6"/>
              </w:rPr>
              <w:t>and CEO of Dundee Sustainable Technologies Inc. (2015 – 2020); President and</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spacing w:after="0"/>
              <w:rPr>
                <w:sz w:val="20"/>
                <w:szCs w:val="20"/>
                <w:color w:val="auto"/>
              </w:rPr>
            </w:pPr>
          </w:p>
        </w:tc>
        <w:tc>
          <w:tcPr>
            <w:tcW w:w="65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CEO of Stone Gold Inc. (2014 – 2020).</w:t>
            </w: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04" w:right="339" w:bottom="107" w:gutter="0" w:footer="0" w:header="0"/>
        </w:sectPr>
      </w:pPr>
    </w:p>
    <w:p>
      <w:pPr>
        <w:spacing w:after="0" w:line="224" w:lineRule="auto"/>
        <w:rPr>
          <w:sz w:val="20"/>
          <w:szCs w:val="20"/>
          <w:color w:val="auto"/>
        </w:rPr>
      </w:pPr>
      <w:r>
        <w:rPr>
          <w:rFonts w:ascii="Arial" w:cs="Arial" w:eastAsia="Arial" w:hAnsi="Arial"/>
          <w:sz w:val="15"/>
          <w:szCs w:val="15"/>
          <w:color w:val="auto"/>
        </w:rPr>
        <w:t>Pierre Seccareccia</w:t>
      </w:r>
      <w:r>
        <w:rPr>
          <w:rFonts w:ascii="Arial" w:cs="Arial" w:eastAsia="Arial" w:hAnsi="Arial"/>
          <w:sz w:val="24"/>
          <w:szCs w:val="24"/>
          <w:color w:val="auto"/>
          <w:vertAlign w:val="superscript"/>
        </w:rPr>
        <w:t>(2)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Québec, Canada</w:t>
      </w:r>
    </w:p>
    <w:p>
      <w:pPr>
        <w:spacing w:after="0" w:line="20" w:lineRule="exact"/>
        <w:rPr>
          <w:sz w:val="20"/>
          <w:szCs w:val="20"/>
          <w:color w:val="auto"/>
        </w:rPr>
      </w:pPr>
      <w:r>
        <w:rPr>
          <w:sz w:val="20"/>
          <w:szCs w:val="20"/>
          <w:color w:val="auto"/>
        </w:rPr>
        <w:br w:type="column"/>
      </w:r>
    </w:p>
    <w:p>
      <w:pPr>
        <w:spacing w:after="0"/>
        <w:tabs>
          <w:tab w:leader="none" w:pos="6500" w:val="left"/>
          <w:tab w:leader="none" w:pos="8400" w:val="left"/>
        </w:tabs>
        <w:rPr>
          <w:sz w:val="20"/>
          <w:szCs w:val="20"/>
          <w:color w:val="auto"/>
        </w:rPr>
      </w:pPr>
      <w:r>
        <w:rPr>
          <w:rFonts w:ascii="Arial" w:cs="Arial" w:eastAsia="Arial" w:hAnsi="Arial"/>
          <w:sz w:val="18"/>
          <w:szCs w:val="18"/>
          <w:color w:val="auto"/>
        </w:rPr>
        <w:t>Director of the Company (2019 – present); Full-time independent director for</w:t>
      </w:r>
      <w:r>
        <w:rPr>
          <w:sz w:val="20"/>
          <w:szCs w:val="20"/>
          <w:color w:val="auto"/>
        </w:rPr>
        <w:tab/>
      </w:r>
      <w:r>
        <w:rPr>
          <w:rFonts w:ascii="Arial" w:cs="Arial" w:eastAsia="Arial" w:hAnsi="Arial"/>
          <w:sz w:val="18"/>
          <w:szCs w:val="18"/>
          <w:color w:val="auto"/>
        </w:rPr>
        <w:t>June 12, 2019</w:t>
      </w:r>
      <w:r>
        <w:rPr>
          <w:sz w:val="20"/>
          <w:szCs w:val="20"/>
          <w:color w:val="auto"/>
        </w:rPr>
        <w:tab/>
      </w:r>
      <w:r>
        <w:rPr>
          <w:rFonts w:ascii="Arial" w:cs="Arial" w:eastAsia="Arial" w:hAnsi="Arial"/>
          <w:sz w:val="18"/>
          <w:szCs w:val="18"/>
          <w:color w:val="auto"/>
        </w:rPr>
        <w:t>nil</w:t>
      </w:r>
    </w:p>
    <w:p>
      <w:pPr>
        <w:spacing w:after="0" w:line="9" w:lineRule="exact"/>
        <w:rPr>
          <w:sz w:val="20"/>
          <w:szCs w:val="20"/>
          <w:color w:val="auto"/>
        </w:rPr>
      </w:pPr>
    </w:p>
    <w:p>
      <w:pPr>
        <w:ind w:right="3100"/>
        <w:spacing w:after="0" w:line="255" w:lineRule="auto"/>
        <w:rPr>
          <w:sz w:val="20"/>
          <w:szCs w:val="20"/>
          <w:color w:val="auto"/>
        </w:rPr>
      </w:pPr>
      <w:r>
        <w:rPr>
          <w:rFonts w:ascii="Arial" w:cs="Arial" w:eastAsia="Arial" w:hAnsi="Arial"/>
          <w:sz w:val="18"/>
          <w:szCs w:val="18"/>
          <w:color w:val="auto"/>
        </w:rPr>
        <w:t>several public companies (2003 – present); Director of Groupe Ivanhoé Cambridge Inc., a real estate subsidiary of la Caisse de dépôt et placement du Québec (2010 – present).</w:t>
      </w:r>
    </w:p>
    <w:p>
      <w:pPr>
        <w:spacing w:after="0" w:line="1" w:lineRule="exact"/>
        <w:rPr>
          <w:sz w:val="20"/>
          <w:szCs w:val="20"/>
          <w:color w:val="auto"/>
        </w:rPr>
      </w:pPr>
    </w:p>
    <w:p>
      <w:pPr>
        <w:sectPr>
          <w:pgSz w:w="11900" w:h="16838" w:orient="portrait"/>
          <w:cols w:equalWidth="0" w:num="2">
            <w:col w:w="1500" w:space="660"/>
            <w:col w:w="9080"/>
          </w:cols>
          <w:pgMar w:left="320" w:top="904" w:right="339" w:bottom="107"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1960" w:type="dxa"/>
            <w:vAlign w:val="bottom"/>
            <w:shd w:val="clear" w:color="auto" w:fill="CCEEFF"/>
          </w:tcPr>
          <w:p>
            <w:pPr>
              <w:spacing w:after="0" w:line="190" w:lineRule="exact"/>
              <w:rPr>
                <w:sz w:val="20"/>
                <w:szCs w:val="20"/>
                <w:color w:val="auto"/>
              </w:rPr>
            </w:pPr>
            <w:r>
              <w:rPr>
                <w:rFonts w:ascii="Arial" w:cs="Arial" w:eastAsia="Arial" w:hAnsi="Arial"/>
                <w:sz w:val="14"/>
                <w:szCs w:val="14"/>
                <w:color w:val="auto"/>
              </w:rPr>
              <w:t>Andres Finkielsztain</w:t>
            </w:r>
            <w:r>
              <w:rPr>
                <w:rFonts w:ascii="Arial" w:cs="Arial" w:eastAsia="Arial" w:hAnsi="Arial"/>
                <w:sz w:val="22"/>
                <w:szCs w:val="22"/>
                <w:color w:val="auto"/>
                <w:vertAlign w:val="superscript"/>
              </w:rPr>
              <w:t>(2)</w:t>
            </w:r>
          </w:p>
        </w:tc>
        <w:tc>
          <w:tcPr>
            <w:tcW w:w="6380" w:type="dxa"/>
            <w:vAlign w:val="bottom"/>
            <w:shd w:val="clear" w:color="auto" w:fill="CCEEFF"/>
          </w:tcPr>
          <w:p>
            <w:pPr>
              <w:ind w:left="200"/>
              <w:spacing w:after="0" w:line="191" w:lineRule="exact"/>
              <w:rPr>
                <w:sz w:val="20"/>
                <w:szCs w:val="20"/>
                <w:color w:val="auto"/>
              </w:rPr>
            </w:pPr>
            <w:r>
              <w:rPr>
                <w:rFonts w:ascii="Arial" w:cs="Arial" w:eastAsia="Arial" w:hAnsi="Arial"/>
                <w:sz w:val="18"/>
                <w:szCs w:val="18"/>
                <w:color w:val="auto"/>
                <w:w w:val="92"/>
              </w:rPr>
              <w:t>Director of the Company (2020 – present); Founding managing partner of FinkWald</w:t>
            </w:r>
          </w:p>
        </w:tc>
        <w:tc>
          <w:tcPr>
            <w:tcW w:w="1800" w:type="dxa"/>
            <w:vAlign w:val="bottom"/>
            <w:shd w:val="clear" w:color="auto" w:fill="CCEEFF"/>
          </w:tcPr>
          <w:p>
            <w:pPr>
              <w:jc w:val="center"/>
              <w:ind w:right="30"/>
              <w:spacing w:after="0" w:line="191" w:lineRule="exact"/>
              <w:rPr>
                <w:sz w:val="20"/>
                <w:szCs w:val="20"/>
                <w:color w:val="auto"/>
              </w:rPr>
            </w:pPr>
            <w:r>
              <w:rPr>
                <w:rFonts w:ascii="Arial" w:cs="Arial" w:eastAsia="Arial" w:hAnsi="Arial"/>
                <w:sz w:val="18"/>
                <w:szCs w:val="18"/>
                <w:color w:val="auto"/>
                <w:w w:val="91"/>
              </w:rPr>
              <w:t>August 31, 2020</w:t>
            </w:r>
          </w:p>
        </w:tc>
        <w:tc>
          <w:tcPr>
            <w:tcW w:w="1100" w:type="dxa"/>
            <w:vAlign w:val="bottom"/>
            <w:shd w:val="clear" w:color="auto" w:fill="CCEEFF"/>
          </w:tcPr>
          <w:p>
            <w:pPr>
              <w:jc w:val="center"/>
              <w:spacing w:after="0" w:line="191" w:lineRule="exact"/>
              <w:rPr>
                <w:sz w:val="20"/>
                <w:szCs w:val="20"/>
                <w:color w:val="auto"/>
              </w:rPr>
            </w:pPr>
            <w:r>
              <w:rPr>
                <w:rFonts w:ascii="Arial" w:cs="Arial" w:eastAsia="Arial" w:hAnsi="Arial"/>
                <w:sz w:val="18"/>
                <w:szCs w:val="18"/>
                <w:color w:val="auto"/>
                <w:w w:val="87"/>
              </w:rPr>
              <w:t>80,000</w:t>
            </w:r>
          </w:p>
        </w:tc>
      </w:tr>
      <w:tr>
        <w:trPr>
          <w:trHeight w:val="270"/>
        </w:trPr>
        <w:tc>
          <w:tcPr>
            <w:tcW w:w="1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9"/>
              </w:rPr>
              <w:t>Buenos Aires, Argentina</w:t>
            </w: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LLC (2011 – present); Director of Goldmoney Inc. (TSX: XAU) (2018 – present).</w:t>
            </w:r>
          </w:p>
        </w:tc>
        <w:tc>
          <w:tcPr>
            <w:tcW w:w="18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03"/>
        </w:trPr>
        <w:tc>
          <w:tcPr>
            <w:tcW w:w="1960" w:type="dxa"/>
            <w:vAlign w:val="bottom"/>
          </w:tcPr>
          <w:p>
            <w:pPr>
              <w:spacing w:after="0" w:line="202" w:lineRule="exact"/>
              <w:rPr>
                <w:sz w:val="20"/>
                <w:szCs w:val="20"/>
                <w:color w:val="auto"/>
              </w:rPr>
            </w:pPr>
            <w:r>
              <w:rPr>
                <w:rFonts w:ascii="Arial" w:cs="Arial" w:eastAsia="Arial" w:hAnsi="Arial"/>
                <w:sz w:val="15"/>
                <w:szCs w:val="15"/>
                <w:color w:val="auto"/>
              </w:rPr>
              <w:t>L. Geoffrey Morphy</w:t>
            </w:r>
            <w:r>
              <w:rPr>
                <w:rFonts w:ascii="Arial" w:cs="Arial" w:eastAsia="Arial" w:hAnsi="Arial"/>
                <w:sz w:val="23"/>
                <w:szCs w:val="23"/>
                <w:color w:val="auto"/>
                <w:vertAlign w:val="superscript"/>
              </w:rPr>
              <w:t>(1)</w:t>
            </w:r>
          </w:p>
        </w:tc>
        <w:tc>
          <w:tcPr>
            <w:tcW w:w="6380" w:type="dxa"/>
            <w:vAlign w:val="bottom"/>
          </w:tcPr>
          <w:p>
            <w:pPr>
              <w:ind w:left="200"/>
              <w:spacing w:after="0" w:line="202" w:lineRule="exact"/>
              <w:rPr>
                <w:sz w:val="20"/>
                <w:szCs w:val="20"/>
                <w:color w:val="auto"/>
              </w:rPr>
            </w:pPr>
            <w:r>
              <w:rPr>
                <w:rFonts w:ascii="Arial" w:cs="Arial" w:eastAsia="Arial" w:hAnsi="Arial"/>
                <w:sz w:val="18"/>
                <w:szCs w:val="18"/>
                <w:color w:val="auto"/>
                <w:w w:val="93"/>
              </w:rPr>
              <w:t>President and Chief Operating Officer of the Company (2020 – present); Director of</w:t>
            </w:r>
          </w:p>
        </w:tc>
        <w:tc>
          <w:tcPr>
            <w:tcW w:w="180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1"/>
              </w:rPr>
              <w:t>May 19, 2020</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2"/>
              </w:rPr>
              <w:t>186,800</w:t>
            </w:r>
          </w:p>
        </w:tc>
      </w:tr>
      <w:tr>
        <w:trPr>
          <w:trHeight w:val="216"/>
        </w:trPr>
        <w:tc>
          <w:tcPr>
            <w:tcW w:w="1960" w:type="dxa"/>
            <w:vAlign w:val="bottom"/>
          </w:tcPr>
          <w:p>
            <w:pPr>
              <w:spacing w:after="0"/>
              <w:rPr>
                <w:sz w:val="20"/>
                <w:szCs w:val="20"/>
                <w:color w:val="auto"/>
              </w:rPr>
            </w:pPr>
            <w:r>
              <w:rPr>
                <w:rFonts w:ascii="Arial" w:cs="Arial" w:eastAsia="Arial" w:hAnsi="Arial"/>
                <w:sz w:val="18"/>
                <w:szCs w:val="18"/>
                <w:i w:val="1"/>
                <w:iCs w:val="1"/>
                <w:color w:val="auto"/>
              </w:rPr>
              <w:t>Ontario, Canada</w:t>
            </w:r>
          </w:p>
        </w:tc>
        <w:tc>
          <w:tcPr>
            <w:tcW w:w="6380" w:type="dxa"/>
            <w:vAlign w:val="bottom"/>
          </w:tcPr>
          <w:p>
            <w:pPr>
              <w:ind w:left="200"/>
              <w:spacing w:after="0"/>
              <w:rPr>
                <w:sz w:val="20"/>
                <w:szCs w:val="20"/>
                <w:color w:val="auto"/>
              </w:rPr>
            </w:pPr>
            <w:r>
              <w:rPr>
                <w:rFonts w:ascii="Arial" w:cs="Arial" w:eastAsia="Arial" w:hAnsi="Arial"/>
                <w:sz w:val="18"/>
                <w:szCs w:val="18"/>
                <w:color w:val="auto"/>
              </w:rPr>
              <w:t>the Company (2020 ); Trustee of R&amp;R Real Estate Investment Trust (2021 –</w:t>
            </w: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196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present); Co-CEO of Dundee Sarea Fund (2017 – 2019); director of Android</w:t>
            </w: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Industries, LLC (2016 – present); Vice-President Corporate Development of</w:t>
            </w: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Dundee Corporation (2016 –2019); Managing Director, Corporate Financing,</w:t>
            </w: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w w:val="95"/>
              </w:rPr>
              <w:t>Transactions &amp; Valuations and Vice-President of Farber Financial Group (2008 –</w:t>
            </w: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2016).</w:t>
            </w:r>
          </w:p>
        </w:tc>
        <w:tc>
          <w:tcPr>
            <w:tcW w:w="18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Jeffrey Lucas,</w:t>
            </w:r>
          </w:p>
        </w:tc>
        <w:tc>
          <w:tcPr>
            <w:tcW w:w="6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Chief Financial Officer of the Company (2021 – present) Managing Director,</w:t>
            </w:r>
          </w:p>
        </w:tc>
        <w:tc>
          <w:tcPr>
            <w:tcW w:w="1800" w:type="dxa"/>
            <w:vAlign w:val="bottom"/>
            <w:shd w:val="clear" w:color="auto" w:fill="CCEEFF"/>
          </w:tcPr>
          <w:p>
            <w:pPr>
              <w:jc w:val="center"/>
              <w:ind w:right="30"/>
              <w:spacing w:after="0" w:line="201" w:lineRule="exact"/>
              <w:rPr>
                <w:sz w:val="20"/>
                <w:szCs w:val="20"/>
                <w:color w:val="auto"/>
              </w:rPr>
            </w:pPr>
            <w:r>
              <w:rPr>
                <w:rFonts w:ascii="Arial" w:cs="Arial" w:eastAsia="Arial" w:hAnsi="Arial"/>
                <w:sz w:val="18"/>
                <w:szCs w:val="18"/>
                <w:color w:val="auto"/>
                <w:w w:val="88"/>
              </w:rPr>
              <w:t>June 3, 2021</w:t>
            </w:r>
          </w:p>
        </w:tc>
        <w:tc>
          <w:tcPr>
            <w:tcW w:w="110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nil</w:t>
            </w: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Massachusetts, USA</w:t>
            </w: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Mackinac Partners (2020 - 2021) Principle, CFI Associates (2020 – 2020) President</w:t>
            </w:r>
          </w:p>
        </w:tc>
        <w:tc>
          <w:tcPr>
            <w:tcW w:w="1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1960" w:type="dxa"/>
            <w:vAlign w:val="bottom"/>
            <w:shd w:val="clear" w:color="auto" w:fill="CCEEFF"/>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(2018 – 2020), Chief Financial Officer (2015 – 2020), eMagin Corporation (NYSE)</w:t>
            </w:r>
          </w:p>
        </w:tc>
        <w:tc>
          <w:tcPr>
            <w:tcW w:w="1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1960" w:type="dxa"/>
            <w:vAlign w:val="bottom"/>
            <w:shd w:val="clear" w:color="auto" w:fill="CCEEFF"/>
          </w:tcPr>
          <w:p>
            <w:pPr>
              <w:spacing w:after="0"/>
              <w:rPr>
                <w:sz w:val="20"/>
                <w:szCs w:val="20"/>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Board Member, Chief Financial Officer, Transfreight Companies (2013 – 2015)</w:t>
            </w:r>
          </w:p>
        </w:tc>
        <w:tc>
          <w:tcPr>
            <w:tcW w:w="18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02"/>
        </w:trPr>
        <w:tc>
          <w:tcPr>
            <w:tcW w:w="1960" w:type="dxa"/>
            <w:vAlign w:val="bottom"/>
          </w:tcPr>
          <w:p>
            <w:pPr>
              <w:spacing w:after="0" w:line="201" w:lineRule="exact"/>
              <w:rPr>
                <w:sz w:val="20"/>
                <w:szCs w:val="20"/>
                <w:color w:val="auto"/>
              </w:rPr>
            </w:pPr>
            <w:r>
              <w:rPr>
                <w:rFonts w:ascii="Arial" w:cs="Arial" w:eastAsia="Arial" w:hAnsi="Arial"/>
                <w:sz w:val="18"/>
                <w:szCs w:val="18"/>
                <w:color w:val="auto"/>
              </w:rPr>
              <w:t>Benjamin Gagnon</w:t>
            </w:r>
          </w:p>
        </w:tc>
        <w:tc>
          <w:tcPr>
            <w:tcW w:w="6380" w:type="dxa"/>
            <w:vAlign w:val="bottom"/>
          </w:tcPr>
          <w:p>
            <w:pPr>
              <w:ind w:left="200"/>
              <w:spacing w:after="0" w:line="201" w:lineRule="exact"/>
              <w:rPr>
                <w:sz w:val="20"/>
                <w:szCs w:val="20"/>
                <w:color w:val="auto"/>
              </w:rPr>
            </w:pPr>
            <w:r>
              <w:rPr>
                <w:rFonts w:ascii="Arial" w:cs="Arial" w:eastAsia="Arial" w:hAnsi="Arial"/>
                <w:sz w:val="18"/>
                <w:szCs w:val="18"/>
                <w:color w:val="auto"/>
                <w:w w:val="98"/>
              </w:rPr>
              <w:t>Chief Mining Officer of the Company (Jun 2021 – present); Consulting Director</w:t>
            </w:r>
          </w:p>
        </w:tc>
        <w:tc>
          <w:tcPr>
            <w:tcW w:w="180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8"/>
              </w:rPr>
              <w:t>June 3, 2021</w:t>
            </w:r>
          </w:p>
        </w:tc>
        <w:tc>
          <w:tcPr>
            <w:tcW w:w="1100" w:type="dxa"/>
            <w:vAlign w:val="bottom"/>
          </w:tcPr>
          <w:p>
            <w:pPr>
              <w:ind w:left="440"/>
              <w:spacing w:after="0" w:line="201" w:lineRule="exact"/>
              <w:rPr>
                <w:sz w:val="20"/>
                <w:szCs w:val="20"/>
                <w:color w:val="auto"/>
              </w:rPr>
            </w:pPr>
            <w:r>
              <w:rPr>
                <w:rFonts w:ascii="Arial" w:cs="Arial" w:eastAsia="Arial" w:hAnsi="Arial"/>
                <w:sz w:val="18"/>
                <w:szCs w:val="18"/>
                <w:color w:val="auto"/>
              </w:rPr>
              <w:t>nil</w:t>
            </w:r>
          </w:p>
        </w:tc>
      </w:tr>
      <w:tr>
        <w:trPr>
          <w:trHeight w:val="216"/>
        </w:trPr>
        <w:tc>
          <w:tcPr>
            <w:tcW w:w="196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(Dec 2019 – Jun 2021); Chief Technology Officer of LuTech Ltd. (2018 – Dec</w:t>
            </w: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2019); Chief Mining Officer of Island Computer Ltd. (2016 – Dec. 2019).</w:t>
            </w:r>
          </w:p>
        </w:tc>
        <w:tc>
          <w:tcPr>
            <w:tcW w:w="18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Benoit Gobeil</w:t>
            </w:r>
          </w:p>
        </w:tc>
        <w:tc>
          <w:tcPr>
            <w:tcW w:w="6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Senior Vice President, Operations &amp; Infrastructure, Bitfarms Ltd. (2021 – present),</w:t>
            </w:r>
          </w:p>
        </w:tc>
        <w:tc>
          <w:tcPr>
            <w:tcW w:w="1800" w:type="dxa"/>
            <w:vAlign w:val="bottom"/>
            <w:shd w:val="clear" w:color="auto" w:fill="CCEEFF"/>
          </w:tcPr>
          <w:p>
            <w:pPr>
              <w:jc w:val="center"/>
              <w:ind w:right="50"/>
              <w:spacing w:after="0" w:line="201" w:lineRule="exact"/>
              <w:rPr>
                <w:sz w:val="20"/>
                <w:szCs w:val="20"/>
                <w:color w:val="auto"/>
              </w:rPr>
            </w:pPr>
            <w:r>
              <w:rPr>
                <w:rFonts w:ascii="Arial" w:cs="Arial" w:eastAsia="Arial" w:hAnsi="Arial"/>
                <w:sz w:val="18"/>
                <w:szCs w:val="18"/>
                <w:color w:val="auto"/>
                <w:w w:val="90"/>
              </w:rPr>
              <w:t>November 1, 2021</w:t>
            </w:r>
          </w:p>
        </w:tc>
        <w:tc>
          <w:tcPr>
            <w:tcW w:w="11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2,386</w:t>
            </w: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Québec, Canada</w:t>
            </w: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Director of Operations, Bitfarms Ltd. (2019 – 2021), General Manager, Volta</w:t>
            </w:r>
          </w:p>
        </w:tc>
        <w:tc>
          <w:tcPr>
            <w:tcW w:w="1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1960" w:type="dxa"/>
            <w:vAlign w:val="bottom"/>
            <w:shd w:val="clear" w:color="auto" w:fill="CCEEFF"/>
          </w:tcPr>
          <w:p>
            <w:pPr>
              <w:spacing w:after="0"/>
              <w:rPr>
                <w:sz w:val="20"/>
                <w:szCs w:val="20"/>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électrique (2018 – 2019); Owner, Volta électrique (2010 – 2017).</w:t>
            </w:r>
          </w:p>
        </w:tc>
        <w:tc>
          <w:tcPr>
            <w:tcW w:w="18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02"/>
        </w:trPr>
        <w:tc>
          <w:tcPr>
            <w:tcW w:w="1960" w:type="dxa"/>
            <w:vAlign w:val="bottom"/>
          </w:tcPr>
          <w:p>
            <w:pPr>
              <w:spacing w:after="0" w:line="201" w:lineRule="exact"/>
              <w:rPr>
                <w:sz w:val="20"/>
                <w:szCs w:val="20"/>
                <w:color w:val="auto"/>
              </w:rPr>
            </w:pPr>
            <w:r>
              <w:rPr>
                <w:rFonts w:ascii="Arial" w:cs="Arial" w:eastAsia="Arial" w:hAnsi="Arial"/>
                <w:sz w:val="18"/>
                <w:szCs w:val="18"/>
                <w:color w:val="auto"/>
              </w:rPr>
              <w:t>Nathaniel Port</w:t>
            </w:r>
          </w:p>
        </w:tc>
        <w:tc>
          <w:tcPr>
            <w:tcW w:w="6380" w:type="dxa"/>
            <w:vAlign w:val="bottom"/>
          </w:tcPr>
          <w:p>
            <w:pPr>
              <w:ind w:left="200"/>
              <w:spacing w:after="0" w:line="201" w:lineRule="exact"/>
              <w:rPr>
                <w:sz w:val="20"/>
                <w:szCs w:val="20"/>
                <w:color w:val="auto"/>
              </w:rPr>
            </w:pPr>
            <w:r>
              <w:rPr>
                <w:rFonts w:ascii="Arial" w:cs="Arial" w:eastAsia="Arial" w:hAnsi="Arial"/>
                <w:sz w:val="18"/>
                <w:szCs w:val="18"/>
                <w:color w:val="auto"/>
                <w:w w:val="97"/>
              </w:rPr>
              <w:t>Senior Vice-President Finance and Accounting of the Company (2021-present);</w:t>
            </w:r>
          </w:p>
        </w:tc>
        <w:tc>
          <w:tcPr>
            <w:tcW w:w="180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8"/>
              </w:rPr>
              <w:t>June 3, 2021</w:t>
            </w:r>
          </w:p>
        </w:tc>
        <w:tc>
          <w:tcPr>
            <w:tcW w:w="1100" w:type="dxa"/>
            <w:vAlign w:val="bottom"/>
          </w:tcPr>
          <w:p>
            <w:pPr>
              <w:ind w:left="440"/>
              <w:spacing w:after="0" w:line="201" w:lineRule="exact"/>
              <w:rPr>
                <w:sz w:val="20"/>
                <w:szCs w:val="20"/>
                <w:color w:val="auto"/>
              </w:rPr>
            </w:pPr>
            <w:r>
              <w:rPr>
                <w:rFonts w:ascii="Arial" w:cs="Arial" w:eastAsia="Arial" w:hAnsi="Arial"/>
                <w:sz w:val="18"/>
                <w:szCs w:val="18"/>
                <w:color w:val="auto"/>
              </w:rPr>
              <w:t>nil</w:t>
            </w:r>
          </w:p>
        </w:tc>
      </w:tr>
      <w:tr>
        <w:trPr>
          <w:trHeight w:val="216"/>
        </w:trPr>
        <w:tc>
          <w:tcPr>
            <w:tcW w:w="1960" w:type="dxa"/>
            <w:vAlign w:val="bottom"/>
          </w:tcPr>
          <w:p>
            <w:pPr>
              <w:spacing w:after="0"/>
              <w:rPr>
                <w:sz w:val="20"/>
                <w:szCs w:val="20"/>
                <w:color w:val="auto"/>
              </w:rPr>
            </w:pPr>
            <w:r>
              <w:rPr>
                <w:rFonts w:ascii="Arial" w:cs="Arial" w:eastAsia="Arial" w:hAnsi="Arial"/>
                <w:sz w:val="18"/>
                <w:szCs w:val="18"/>
                <w:i w:val="1"/>
                <w:iCs w:val="1"/>
                <w:color w:val="auto"/>
              </w:rPr>
              <w:t>Québec, Canada</w:t>
            </w:r>
          </w:p>
        </w:tc>
        <w:tc>
          <w:tcPr>
            <w:tcW w:w="6380" w:type="dxa"/>
            <w:vAlign w:val="bottom"/>
          </w:tcPr>
          <w:p>
            <w:pPr>
              <w:ind w:left="200"/>
              <w:spacing w:after="0"/>
              <w:rPr>
                <w:sz w:val="20"/>
                <w:szCs w:val="20"/>
                <w:color w:val="auto"/>
              </w:rPr>
            </w:pPr>
            <w:r>
              <w:rPr>
                <w:rFonts w:ascii="Arial" w:cs="Arial" w:eastAsia="Arial" w:hAnsi="Arial"/>
                <w:sz w:val="18"/>
                <w:szCs w:val="18"/>
                <w:color w:val="auto"/>
              </w:rPr>
              <w:t>Director of finance and Controller of the Company (2018 to 2020); Auditor at</w:t>
            </w: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Nexia Friedman LLP (2014-2018).</w:t>
            </w:r>
          </w:p>
        </w:tc>
        <w:tc>
          <w:tcPr>
            <w:tcW w:w="18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Andrea Keen Souza</w:t>
            </w:r>
          </w:p>
        </w:tc>
        <w:tc>
          <w:tcPr>
            <w:tcW w:w="6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Vice-President, Human Resources, Bitfarms Ltd. (2022 – present); Head of Talent</w:t>
            </w:r>
          </w:p>
        </w:tc>
        <w:tc>
          <w:tcPr>
            <w:tcW w:w="1800" w:type="dxa"/>
            <w:vAlign w:val="bottom"/>
            <w:shd w:val="clear" w:color="auto" w:fill="CCEEFF"/>
          </w:tcPr>
          <w:p>
            <w:pPr>
              <w:jc w:val="center"/>
              <w:ind w:right="30"/>
              <w:spacing w:after="0" w:line="201" w:lineRule="exact"/>
              <w:rPr>
                <w:sz w:val="20"/>
                <w:szCs w:val="20"/>
                <w:color w:val="auto"/>
              </w:rPr>
            </w:pPr>
            <w:r>
              <w:rPr>
                <w:rFonts w:ascii="Arial" w:cs="Arial" w:eastAsia="Arial" w:hAnsi="Arial"/>
                <w:sz w:val="18"/>
                <w:szCs w:val="18"/>
                <w:color w:val="auto"/>
                <w:w w:val="89"/>
              </w:rPr>
              <w:t>January 10, 2022</w:t>
            </w:r>
          </w:p>
        </w:tc>
        <w:tc>
          <w:tcPr>
            <w:tcW w:w="110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nil</w:t>
            </w: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Québec, Canada</w:t>
            </w: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&amp; Culture, EQ Care / Telus Health (2020 – 2021); Global HR Director, Straumann</w:t>
            </w:r>
          </w:p>
        </w:tc>
        <w:tc>
          <w:tcPr>
            <w:tcW w:w="1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1960" w:type="dxa"/>
            <w:vAlign w:val="bottom"/>
            <w:shd w:val="clear" w:color="auto" w:fill="CCEEFF"/>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Group (2019 – 2020); Head of Human Resources, Sterlite Power Brazil (2017 –</w:t>
            </w:r>
          </w:p>
        </w:tc>
        <w:tc>
          <w:tcPr>
            <w:tcW w:w="1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1960" w:type="dxa"/>
            <w:vAlign w:val="bottom"/>
            <w:shd w:val="clear" w:color="auto" w:fill="CCEEFF"/>
          </w:tcPr>
          <w:p>
            <w:pPr>
              <w:spacing w:after="0"/>
              <w:rPr>
                <w:sz w:val="20"/>
                <w:szCs w:val="20"/>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2019); Region Human Resources Leader, LATAM, Fieldcore/GE (2007-2017).</w:t>
            </w:r>
          </w:p>
        </w:tc>
        <w:tc>
          <w:tcPr>
            <w:tcW w:w="18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02"/>
        </w:trPr>
        <w:tc>
          <w:tcPr>
            <w:tcW w:w="1960" w:type="dxa"/>
            <w:vAlign w:val="bottom"/>
          </w:tcPr>
          <w:p>
            <w:pPr>
              <w:spacing w:after="0" w:line="201" w:lineRule="exact"/>
              <w:rPr>
                <w:sz w:val="20"/>
                <w:szCs w:val="20"/>
                <w:color w:val="auto"/>
              </w:rPr>
            </w:pPr>
            <w:r>
              <w:rPr>
                <w:rFonts w:ascii="Arial" w:cs="Arial" w:eastAsia="Arial" w:hAnsi="Arial"/>
                <w:sz w:val="18"/>
                <w:szCs w:val="18"/>
                <w:color w:val="auto"/>
              </w:rPr>
              <w:t>Damian Polla</w:t>
            </w:r>
          </w:p>
        </w:tc>
        <w:tc>
          <w:tcPr>
            <w:tcW w:w="6380" w:type="dxa"/>
            <w:vAlign w:val="bottom"/>
          </w:tcPr>
          <w:p>
            <w:pPr>
              <w:ind w:left="200"/>
              <w:spacing w:after="0" w:line="201" w:lineRule="exact"/>
              <w:rPr>
                <w:sz w:val="20"/>
                <w:szCs w:val="20"/>
                <w:color w:val="auto"/>
              </w:rPr>
            </w:pPr>
            <w:r>
              <w:rPr>
                <w:rFonts w:ascii="Arial" w:cs="Arial" w:eastAsia="Arial" w:hAnsi="Arial"/>
                <w:sz w:val="18"/>
                <w:szCs w:val="18"/>
                <w:color w:val="auto"/>
                <w:w w:val="99"/>
              </w:rPr>
              <w:t>General Manager – Latam, Bitfarms Ltd. (2021 – present); Director, Corporate</w:t>
            </w:r>
          </w:p>
        </w:tc>
        <w:tc>
          <w:tcPr>
            <w:tcW w:w="180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5"/>
              </w:rPr>
              <w:t>April 14, 2021</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87"/>
              </w:rPr>
              <w:t>49,668</w:t>
            </w:r>
          </w:p>
        </w:tc>
      </w:tr>
      <w:tr>
        <w:trPr>
          <w:trHeight w:val="216"/>
        </w:trPr>
        <w:tc>
          <w:tcPr>
            <w:tcW w:w="1960" w:type="dxa"/>
            <w:vAlign w:val="bottom"/>
          </w:tcPr>
          <w:p>
            <w:pPr>
              <w:spacing w:after="0"/>
              <w:rPr>
                <w:sz w:val="20"/>
                <w:szCs w:val="20"/>
                <w:color w:val="auto"/>
              </w:rPr>
            </w:pPr>
            <w:r>
              <w:rPr>
                <w:rFonts w:ascii="Arial" w:cs="Arial" w:eastAsia="Arial" w:hAnsi="Arial"/>
                <w:sz w:val="18"/>
                <w:szCs w:val="18"/>
                <w:i w:val="1"/>
                <w:iCs w:val="1"/>
                <w:color w:val="auto"/>
                <w:w w:val="99"/>
              </w:rPr>
              <w:t>Buenos Aires, Argentina</w:t>
            </w:r>
          </w:p>
        </w:tc>
        <w:tc>
          <w:tcPr>
            <w:tcW w:w="6380" w:type="dxa"/>
            <w:vAlign w:val="bottom"/>
          </w:tcPr>
          <w:p>
            <w:pPr>
              <w:ind w:left="200"/>
              <w:spacing w:after="0"/>
              <w:rPr>
                <w:sz w:val="20"/>
                <w:szCs w:val="20"/>
                <w:color w:val="auto"/>
              </w:rPr>
            </w:pPr>
            <w:r>
              <w:rPr>
                <w:rFonts w:ascii="Arial" w:cs="Arial" w:eastAsia="Arial" w:hAnsi="Arial"/>
                <w:sz w:val="18"/>
                <w:szCs w:val="18"/>
                <w:color w:val="auto"/>
                <w:w w:val="95"/>
              </w:rPr>
              <w:t>Finance, Molino Cañuelas SACIFIA (2018 – 2021); Head of Structured Finance –</w:t>
            </w: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Latin America, Haitong Bank NY Branch (2015 – 2018).</w:t>
            </w:r>
          </w:p>
        </w:tc>
        <w:tc>
          <w:tcPr>
            <w:tcW w:w="18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Patricia Osorio</w:t>
            </w:r>
          </w:p>
        </w:tc>
        <w:tc>
          <w:tcPr>
            <w:tcW w:w="6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Vice President of Corporate Affairs (2021 – present); Corporate Secretary of</w:t>
            </w:r>
          </w:p>
        </w:tc>
        <w:tc>
          <w:tcPr>
            <w:tcW w:w="1800" w:type="dxa"/>
            <w:vAlign w:val="bottom"/>
            <w:shd w:val="clear" w:color="auto" w:fill="CCEEFF"/>
          </w:tcPr>
          <w:p>
            <w:pPr>
              <w:jc w:val="center"/>
              <w:ind w:right="30"/>
              <w:spacing w:after="0" w:line="201" w:lineRule="exact"/>
              <w:rPr>
                <w:sz w:val="20"/>
                <w:szCs w:val="20"/>
                <w:color w:val="auto"/>
              </w:rPr>
            </w:pPr>
            <w:r>
              <w:rPr>
                <w:rFonts w:ascii="Arial" w:cs="Arial" w:eastAsia="Arial" w:hAnsi="Arial"/>
                <w:sz w:val="18"/>
                <w:szCs w:val="18"/>
                <w:color w:val="auto"/>
                <w:w w:val="91"/>
              </w:rPr>
              <w:t>November 19, 2021</w:t>
            </w:r>
          </w:p>
        </w:tc>
        <w:tc>
          <w:tcPr>
            <w:tcW w:w="110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nil</w:t>
            </w: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Québec, Canada</w:t>
            </w: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Dundee Sustainable Technologies Inc. (2020 – 2021); Assistant Secretary-Treasurer</w:t>
            </w:r>
          </w:p>
        </w:tc>
        <w:tc>
          <w:tcPr>
            <w:tcW w:w="1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1960" w:type="dxa"/>
            <w:vAlign w:val="bottom"/>
            <w:shd w:val="clear" w:color="auto" w:fill="CCEEFF"/>
          </w:tcPr>
          <w:p>
            <w:pPr>
              <w:spacing w:after="0"/>
              <w:rPr>
                <w:sz w:val="20"/>
                <w:szCs w:val="20"/>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Dundee Sustainable Technologies Inc. (2015 – 2020).</w:t>
            </w:r>
          </w:p>
        </w:tc>
        <w:tc>
          <w:tcPr>
            <w:tcW w:w="18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02"/>
        </w:trPr>
        <w:tc>
          <w:tcPr>
            <w:tcW w:w="1960" w:type="dxa"/>
            <w:vAlign w:val="bottom"/>
          </w:tcPr>
          <w:p>
            <w:pPr>
              <w:spacing w:after="0" w:line="201" w:lineRule="exact"/>
              <w:rPr>
                <w:sz w:val="20"/>
                <w:szCs w:val="20"/>
                <w:color w:val="auto"/>
              </w:rPr>
            </w:pPr>
            <w:r>
              <w:rPr>
                <w:rFonts w:ascii="Arial" w:cs="Arial" w:eastAsia="Arial" w:hAnsi="Arial"/>
                <w:sz w:val="18"/>
                <w:szCs w:val="18"/>
                <w:color w:val="auto"/>
              </w:rPr>
              <w:t>Philippe Fortier</w:t>
            </w:r>
          </w:p>
        </w:tc>
        <w:tc>
          <w:tcPr>
            <w:tcW w:w="6380" w:type="dxa"/>
            <w:vAlign w:val="bottom"/>
          </w:tcPr>
          <w:p>
            <w:pPr>
              <w:ind w:left="240"/>
              <w:spacing w:after="0" w:line="201" w:lineRule="exact"/>
              <w:rPr>
                <w:sz w:val="20"/>
                <w:szCs w:val="20"/>
                <w:color w:val="auto"/>
              </w:rPr>
            </w:pPr>
            <w:r>
              <w:rPr>
                <w:rFonts w:ascii="Arial" w:cs="Arial" w:eastAsia="Arial" w:hAnsi="Arial"/>
                <w:sz w:val="18"/>
                <w:szCs w:val="18"/>
                <w:color w:val="auto"/>
                <w:w w:val="92"/>
              </w:rPr>
              <w:t>Vice President, Special Projects, Bitfarms Ltd (2022 – present); President &amp; Leader</w:t>
            </w:r>
          </w:p>
        </w:tc>
        <w:tc>
          <w:tcPr>
            <w:tcW w:w="180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January 24, 2022</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88"/>
              </w:rPr>
              <w:t>1,000</w:t>
            </w:r>
          </w:p>
        </w:tc>
      </w:tr>
      <w:tr>
        <w:trPr>
          <w:trHeight w:val="216"/>
        </w:trPr>
        <w:tc>
          <w:tcPr>
            <w:tcW w:w="1960" w:type="dxa"/>
            <w:vAlign w:val="bottom"/>
          </w:tcPr>
          <w:p>
            <w:pPr>
              <w:spacing w:after="0"/>
              <w:rPr>
                <w:sz w:val="20"/>
                <w:szCs w:val="20"/>
                <w:color w:val="auto"/>
              </w:rPr>
            </w:pPr>
            <w:r>
              <w:rPr>
                <w:rFonts w:ascii="Arial" w:cs="Arial" w:eastAsia="Arial" w:hAnsi="Arial"/>
                <w:sz w:val="18"/>
                <w:szCs w:val="18"/>
                <w:i w:val="1"/>
                <w:iCs w:val="1"/>
                <w:color w:val="auto"/>
              </w:rPr>
              <w:t>Québec, Canada</w:t>
            </w:r>
          </w:p>
        </w:tc>
        <w:tc>
          <w:tcPr>
            <w:tcW w:w="6380" w:type="dxa"/>
            <w:vAlign w:val="bottom"/>
          </w:tcPr>
          <w:p>
            <w:pPr>
              <w:ind w:left="200"/>
              <w:spacing w:after="0"/>
              <w:rPr>
                <w:sz w:val="20"/>
                <w:szCs w:val="20"/>
                <w:color w:val="auto"/>
              </w:rPr>
            </w:pPr>
            <w:r>
              <w:rPr>
                <w:rFonts w:ascii="Arial" w:cs="Arial" w:eastAsia="Arial" w:hAnsi="Arial"/>
                <w:sz w:val="18"/>
                <w:szCs w:val="18"/>
                <w:color w:val="auto"/>
                <w:w w:val="93"/>
              </w:rPr>
              <w:t>Advisor, PFOCap Corporate Finance &amp; Investment Advice (2019 - 2022); Financial</w:t>
            </w: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Analyst, National Bank Financial (2017 - 2019).</w:t>
            </w:r>
          </w:p>
        </w:tc>
        <w:tc>
          <w:tcPr>
            <w:tcW w:w="18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02"/>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Stephanie Wargo</w:t>
            </w:r>
          </w:p>
        </w:tc>
        <w:tc>
          <w:tcPr>
            <w:tcW w:w="6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Global VP Marketing, PrimeRevenue (2015 – 2022), Global VP Marketing, BitPay</w:t>
            </w:r>
          </w:p>
        </w:tc>
        <w:tc>
          <w:tcPr>
            <w:tcW w:w="1800" w:type="dxa"/>
            <w:vAlign w:val="bottom"/>
            <w:shd w:val="clear" w:color="auto" w:fill="CCEEFF"/>
          </w:tcPr>
          <w:p>
            <w:pPr>
              <w:jc w:val="center"/>
              <w:ind w:right="30"/>
              <w:spacing w:after="0" w:line="201" w:lineRule="exact"/>
              <w:rPr>
                <w:sz w:val="20"/>
                <w:szCs w:val="20"/>
                <w:color w:val="auto"/>
              </w:rPr>
            </w:pPr>
            <w:r>
              <w:rPr>
                <w:rFonts w:ascii="Arial" w:cs="Arial" w:eastAsia="Arial" w:hAnsi="Arial"/>
                <w:sz w:val="18"/>
                <w:szCs w:val="18"/>
                <w:color w:val="auto"/>
                <w:w w:val="89"/>
              </w:rPr>
              <w:t>February 14, 2022</w:t>
            </w:r>
          </w:p>
        </w:tc>
        <w:tc>
          <w:tcPr>
            <w:tcW w:w="110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nil</w:t>
            </w: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Georgia, USA</w:t>
            </w: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(2013 – 2015). VP Client Relations &amp; Marketing, FirstView Financial (2010 –</w:t>
            </w:r>
          </w:p>
        </w:tc>
        <w:tc>
          <w:tcPr>
            <w:tcW w:w="1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1960" w:type="dxa"/>
            <w:vAlign w:val="bottom"/>
            <w:shd w:val="clear" w:color="auto" w:fill="CCEEFF"/>
          </w:tcPr>
          <w:p>
            <w:pPr>
              <w:spacing w:after="0"/>
              <w:rPr>
                <w:sz w:val="20"/>
                <w:szCs w:val="20"/>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2013).</w:t>
            </w:r>
          </w:p>
        </w:tc>
        <w:tc>
          <w:tcPr>
            <w:tcW w:w="18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23" w:lineRule="exact"/>
        <w:rPr>
          <w:sz w:val="20"/>
          <w:szCs w:val="20"/>
          <w:color w:val="auto"/>
        </w:rPr>
      </w:pPr>
    </w:p>
    <w:p>
      <w:pPr>
        <w:jc w:val="both"/>
        <w:ind w:left="340" w:hanging="332"/>
        <w:spacing w:after="0" w:line="250"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Information about principal occupation, business or employment, not being within the knowledge of the Corporation, has been furnished by respective persons set forth above. The information with respect to the Common Shares beneficially owned, controlled or directed is not within the direct knowledge of the Corporation and has been obtained from SEDI or furnished by the respective individuals. This table does not include Common Shares underlying unexercised stock options and warrants.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49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07" w:gutter="0" w:footer="0" w:header="0"/>
          <w:type w:val="continuous"/>
        </w:sectPr>
      </w:pPr>
    </w:p>
    <w:bookmarkStart w:id="58" w:name="page59"/>
    <w:bookmarkEnd w:id="58"/>
    <w:p>
      <w:pPr>
        <w:jc w:val="both"/>
        <w:spacing w:after="0" w:line="275" w:lineRule="auto"/>
        <w:rPr>
          <w:sz w:val="20"/>
          <w:szCs w:val="20"/>
          <w:color w:val="auto"/>
        </w:rPr>
      </w:pPr>
      <w:r>
        <w:rPr>
          <w:rFonts w:ascii="Arial" w:cs="Arial" w:eastAsia="Arial" w:hAnsi="Arial"/>
          <w:sz w:val="17"/>
          <w:szCs w:val="17"/>
          <w:color w:val="auto"/>
        </w:rPr>
        <w:t>As at the date hereof, the directors and executive officers of the Company, as a group, beneficially owned, directly or indirectly, or exercised control or direction over 19,053,744 Common Shares, representing 9.5% of the total number of Common Shares outstanding before giving effect to the exercise of rights, options, or warrants to purchase or otherwise receive Common Shares held by such directors and executive officers. The statement as to the number of Common Shares beneficially owned, directly or indirectly, or over which control or direction is exercised by the directors and executive officers of the Company as a group is based upon information furnished by the directors and executive officers.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Nicolas Bonta</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Nicolas Bonta serves as the Executive Chairman of the Board. Mr. Bonta is an Argentinian hotelier, real estate investor and a founder of the Corporation. In 1998, he founded one of the first boutique hotel companies in Argentina named “Own Hotels” which has grown to six locations in the cities of Buenos Aires and Montevideo, Uruguay. Mr. Bonta has a bachelor’s degree in hospitality from Glion Institute of Higher Education in Switzerland.</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Emiliano Joel Grodzki</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Emiliano Joel Grodzki serves as the Chief Executive Officer and is a Director of the Corporation. Mr. Grodzki is an Argentinian entrepreneur, businessman and a founder of the Corporation. He has been a business builder and innovator since his early teens, founding, incubating, and exiting interdisciplinary ventures in the design, food, and construction industries. In 2016, he entered the space of cryptocurrencies and began to invest in and mine cryptocurrencies from Argentina. Mr. Grodzki has a construction degree from ORT in Buenos Aires.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Brian Howlett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Brian Howlett serves as the Lead Director of the Corporation. Mr. Howlett is a seasoned professional with over thirty years of senior management experience. Mr. Howlett is currently the President, Chief Executive Officer and Director of Hemlo Explorers Inc. Mr. Howlett also serves on the Board for several junior mining companies. Mr. Howlett recently served as the President, Chief Executive Officer and a Director of Dundee Sustainable Technologies Inc. He also formerly served as the President and Chief Financial Officer of Superior Copper Corporation. Prior to that, Mr. Howlett spent twelve years with ELI Eco Logic Inc., including six years as Chief Financial Officer. Mr. Howlett graduated in 1982 with a B. Comm. in finance from Concordia University and received his CMA designation in 1989.</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Pierre Seccareccia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Pierre Seccareccia serves as a Director of the Corporation. He has extensive experience in financial consulting and management. A Partner of the Coopers</w:t>
      </w:r>
    </w:p>
    <w:p>
      <w:pPr>
        <w:spacing w:after="0" w:line="46" w:lineRule="exact"/>
        <w:rPr>
          <w:sz w:val="20"/>
          <w:szCs w:val="20"/>
          <w:color w:val="auto"/>
        </w:rPr>
      </w:pPr>
    </w:p>
    <w:p>
      <w:pPr>
        <w:jc w:val="both"/>
        <w:ind w:firstLine="8"/>
        <w:spacing w:after="0" w:line="270" w:lineRule="auto"/>
        <w:tabs>
          <w:tab w:leader="none" w:pos="185" w:val="left"/>
        </w:tabs>
        <w:numPr>
          <w:ilvl w:val="0"/>
          <w:numId w:val="21"/>
        </w:numPr>
        <w:rPr>
          <w:rFonts w:ascii="Arial" w:cs="Arial" w:eastAsia="Arial" w:hAnsi="Arial"/>
          <w:sz w:val="17"/>
          <w:szCs w:val="17"/>
          <w:color w:val="auto"/>
        </w:rPr>
      </w:pPr>
      <w:r>
        <w:rPr>
          <w:rFonts w:ascii="Arial" w:cs="Arial" w:eastAsia="Arial" w:hAnsi="Arial"/>
          <w:sz w:val="17"/>
          <w:szCs w:val="17"/>
          <w:color w:val="auto"/>
        </w:rPr>
        <w:t>Lybrand accounting firm from 1976 to 1998, he acted as Managing Partner for its Montreal south shore office from 1987 to 1989, for its Montreal central office from 1992 to 1996, and for its offices in the Province of Quebec from 1996 to 1998. Following the merger in 1998 of Coopers &amp; Lybrand with Price Waterhouse, he acted as the Managing Partner for the Montreal office of PricewaterhouseCoopers LLP from 1998 to 2001. Since 2003, Mr. Seccareccia has acted as a full-time independent corporate director for various public and private entities. He is a Fellow CPA, CPA, and a lifetime member of the Ordre des comptables professionnels agréés du Québec. He is also a member of the Institute of Corporate Directors (Canada). He graduated from the École des hautes études commerciales de Montréal with a degree in Accounting.</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auto"/>
        </w:rPr>
        <w:t>50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ind w:left="660"/>
        <w:spacing w:after="0"/>
        <w:rPr>
          <w:sz w:val="20"/>
          <w:szCs w:val="20"/>
          <w:color w:val="auto"/>
        </w:rPr>
      </w:pPr>
      <w:r>
        <w:rPr>
          <w:rFonts w:ascii="Arial" w:cs="Arial" w:eastAsia="Arial" w:hAnsi="Arial"/>
          <w:sz w:val="18"/>
          <w:szCs w:val="18"/>
          <w:i w:val="1"/>
          <w:iCs w:val="1"/>
          <w:color w:val="auto"/>
        </w:rPr>
        <w:t>Andres Finkielsztain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Andres Finkielsztain serves as a Director of the Corporation. Mr. Finkielsztain is the Founding Managing Partner of FinkWald LLC, a private investment office specializing in private equity, real estate, media, and technology. He is also the co-head of the Special Situations division at Banco Industrial in Argentina, where he analyzes and provides financing solutions to Argentinean-based companies and institutions. Mr. Finkielsztain previously served as a financial advisor for Soros Brothers Investments (“</w:t>
      </w:r>
      <w:r>
        <w:rPr>
          <w:rFonts w:ascii="Arial" w:cs="Arial" w:eastAsia="Arial" w:hAnsi="Arial"/>
          <w:sz w:val="17"/>
          <w:szCs w:val="17"/>
          <w:b w:val="1"/>
          <w:bCs w:val="1"/>
          <w:color w:val="auto"/>
        </w:rPr>
        <w:t>SBI</w:t>
      </w:r>
      <w:r>
        <w:rPr>
          <w:rFonts w:ascii="Arial" w:cs="Arial" w:eastAsia="Arial" w:hAnsi="Arial"/>
          <w:sz w:val="17"/>
          <w:szCs w:val="17"/>
          <w:color w:val="auto"/>
        </w:rPr>
        <w:t>”), a private investment office founded in 2011 by Alexander and Gregory Soros, and as an analyst for Emerging Markets at Soros Fund Management LLC. Mr. Finkielsztain also worked at J.P. Morgan for over 10 years in various capacities within their Asset Management group, including the role of Global Investment Opportunity and Emerging Markets Specialist. Mr. Finkielsztain graduated with a BA in Economics from Bard College where he served as the President of a Latin American organization.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 Geoffrey Morphy</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L. Geoffrey Morphy serves as the President and Chief Operating Officer of the Corporation. He was Co-CEO of Dundee Sarea Fund, a Canadian-based turnaround fund from December 2017 to November 2019. He was Vice-President, Corporate Development of Dundee Corporation (TSE: DC.A) from April 2016 to October 2019. In that capacity, he was part of the senior management team responsible for strategy, new investments and portfolio management. Since August 2016, Mr. Morphy is a director of Android Industries, L.L.C, a Michigan-based Tier One auto parts manufacturing company with global operations. In February 2021, he became a Trustee of R&amp;R Real Estate Investment Trust (TSXV: RRR.UN). Mr. Morphy is a past director of Parq-Vancouver, Blue Goose Capital Corporation, and was previously Chairman of Montreal based Dundee Sustainable Technologies Inc. (CSE: DST) and Dundee Sarea Fund. Mr. Morphy has decades of cross-border and international commercial and corporate strategy, structuring, operational and finance experience. He has occupied executive positions at financial advisory firms and banks, such as the Farber Financial Group between 2008 and 2016, ABN Amro Bank N.V. and LaSalle Bank between 2005 and 2008, as well as Comerica Bank, between 2000 and 2005. Mr. Morphy holds a Bachelor of Commerce from Dalhousie University and in 2012 earned the designation of Certified Exit Planning Adviser from Chicago-based Exit Planning Institute, in 2015 became an exempt market dealer representative, and in 2019 was granted the designation of ICD.D from the Institute of Canadian Directors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Jeffrey Lucas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Jeffrey Lucas serves as the Chief Financial Officer of the Corporation. Prior to joining Bitfarms, Mr. Lucas was Managing Director of Mackinac Partners, a financial restructuring and turnaround advisory firm. Previously, he was President and CFO of eMagin Corporation (NYSE), a publicly traded developer and manufacturer of microdisplays used in military and commercial applications. Prior to eMagin, Jeff was a Board Member and the CFO of Transfreight Companies, a logistics and transportation enterprise that managed the inbound supply chain for the major auto manufacturers. Jeff has also served as CFO for several other public and private companies in a variety of industries. Prior to his corporate roles, Mr. Lucas worked in high yield investment banking with L. F. Rothschild and in institutional money management as a securities analyst with Wells Capital Management. He is a Chartered Financial Analyst and Certified Public Accountant, having received the certification while a member of PricewaterhouseCoopers’ technology and industrials practices. Mr. Lucas earned an MBA with emphasis on finance from Harvard Business School and a BA in Economics from Tufts University and studied at the London School of Economics.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51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Cease Trade Orders, Bankruptcies, Penalties or Sanctions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Other than as set out below, no director or executive officer of the Company, is or was within 10 years before the date of this AIF, a director, chief executive officer or chief financial officer of any company that:</w:t>
      </w:r>
    </w:p>
    <w:p>
      <w:pPr>
        <w:spacing w:after="0" w:line="170"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while that person was acting in that capacity, was the subject of a cease trade order or similar order or an order that denied the relevant company access to any exemption under securities legislation for a period of more than 30 consecutive days; or</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while that person was acting in that capacity, was subject to an event that resulted, after the director or executive officer ceased to be a director or executive officer, in the company being the subject of a cease trade or similar order or an order that denied the relevant company access to any exemption under securities legislation for a period of more than 30 consecutive days.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No director or executive officer of the Company and no shareholder holding a sufficient number of securities to affect materially the control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is, as at the date of the AIF, or has been within the 10 years before the date of the AIF:</w:t>
      </w:r>
    </w:p>
    <w:p>
      <w:pPr>
        <w:spacing w:after="0" w:line="211" w:lineRule="exact"/>
        <w:rPr>
          <w:sz w:val="20"/>
          <w:szCs w:val="20"/>
          <w:color w:val="auto"/>
        </w:rPr>
      </w:pPr>
    </w:p>
    <w:p>
      <w:pPr>
        <w:jc w:val="both"/>
        <w:ind w:left="760" w:hanging="509"/>
        <w:spacing w:after="0" w:line="311"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director or executive officer of any company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w:t>
      </w:r>
    </w:p>
    <w:p>
      <w:pPr>
        <w:spacing w:after="0" w:line="148"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become bankrupt, made a proposal under any legislation relating to bankruptcy or insolvency, or become subject to or instituted any proceedings, arrangement or compromise with creditors, or had a receiver, receiver manager or trustee appointed to hold the assets of the director, executive officer or shareholder; or</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has been subject to:</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any penalties or sanctions imposed by a court relating to securities legislation or by a securities regulatory authority or has entered into a settlement agreement with a securities regulatory authority since December 31, 2000 or before December 31, 2000 the disclosure of which would likely be important to a reasonable security holder in making an investment decision; or</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2"/>
          <w:numId w:val="23"/>
        </w:numPr>
        <w:rPr>
          <w:rFonts w:ascii="Arial" w:cs="Arial" w:eastAsia="Arial" w:hAnsi="Arial"/>
          <w:sz w:val="18"/>
          <w:szCs w:val="18"/>
          <w:color w:val="auto"/>
        </w:rPr>
      </w:pPr>
      <w:r>
        <w:rPr>
          <w:rFonts w:ascii="Arial" w:cs="Arial" w:eastAsia="Arial" w:hAnsi="Arial"/>
          <w:sz w:val="18"/>
          <w:szCs w:val="18"/>
          <w:color w:val="auto"/>
        </w:rPr>
        <w:t>any other penalties or sanctions imposed by a court or regulatory body that would likely be considered important to a reasonable securityholder in making an investment decision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Bitfarms Canada Board currently has an Audit Committee.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current members of the Audit Committee are Pierre Seccareccia as Committee chair, Brian Howlett, and Andres Finkielsztain. All of the members are considered “independent” directors as defined in NI 52-110. Each member of the Audit Committee is considered to be “financially literate” within the meaning of NI 52-110, which includes the ability to read and understand a set of financial statements that present a breadth and level of complexity of accounting issues that are generally comparable to the breadth and complexity of the Corporation’s financial statements. The full text of the charter of the Audit Committee (the “</w:t>
      </w:r>
      <w:r>
        <w:rPr>
          <w:rFonts w:ascii="Arial" w:cs="Arial" w:eastAsia="Arial" w:hAnsi="Arial"/>
          <w:sz w:val="17"/>
          <w:szCs w:val="17"/>
          <w:b w:val="1"/>
          <w:bCs w:val="1"/>
          <w:color w:val="auto"/>
        </w:rPr>
        <w:t>Audit Committee Charter</w:t>
      </w:r>
      <w:r>
        <w:rPr>
          <w:rFonts w:ascii="Arial" w:cs="Arial" w:eastAsia="Arial" w:hAnsi="Arial"/>
          <w:sz w:val="17"/>
          <w:szCs w:val="17"/>
          <w:color w:val="auto"/>
        </w:rPr>
        <w:t>”) is attached as Appendix “A”.</w:t>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color w:val="auto"/>
        </w:rPr>
        <w:t>52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Relevant Education and Experience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relevant education and experience of each of the members of the Audit Committee is as follows: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3720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3720465"/>
                    </a:xfrm>
                    <a:prstGeom prst="rect">
                      <a:avLst/>
                    </a:prstGeom>
                    <a:noFill/>
                  </pic:spPr>
                </pic:pic>
              </a:graphicData>
            </a:graphic>
          </wp:anchor>
        </w:drawing>
      </w:r>
    </w:p>
    <w:p>
      <w:pPr>
        <w:spacing w:after="0" w:line="7" w:lineRule="exact"/>
        <w:rPr>
          <w:sz w:val="20"/>
          <w:szCs w:val="20"/>
          <w:color w:val="auto"/>
        </w:rPr>
      </w:pPr>
    </w:p>
    <w:p>
      <w:pPr>
        <w:spacing w:after="0"/>
        <w:tabs>
          <w:tab w:leader="none" w:pos="1740" w:val="left"/>
          <w:tab w:leader="none" w:pos="6800" w:val="left"/>
        </w:tabs>
        <w:rPr>
          <w:sz w:val="20"/>
          <w:szCs w:val="20"/>
          <w:color w:val="auto"/>
        </w:rPr>
      </w:pPr>
      <w:r>
        <w:rPr>
          <w:rFonts w:ascii="Arial" w:cs="Arial" w:eastAsia="Arial" w:hAnsi="Arial"/>
          <w:sz w:val="18"/>
          <w:szCs w:val="18"/>
          <w:b w:val="1"/>
          <w:bCs w:val="1"/>
          <w:color w:val="auto"/>
        </w:rPr>
        <w:t>Member</w:t>
      </w:r>
      <w:r>
        <w:rPr>
          <w:sz w:val="20"/>
          <w:szCs w:val="20"/>
          <w:color w:val="auto"/>
        </w:rPr>
        <w:tab/>
      </w:r>
      <w:r>
        <w:rPr>
          <w:rFonts w:ascii="Arial" w:cs="Arial" w:eastAsia="Arial" w:hAnsi="Arial"/>
          <w:sz w:val="18"/>
          <w:szCs w:val="18"/>
          <w:b w:val="1"/>
          <w:bCs w:val="1"/>
          <w:color w:val="auto"/>
        </w:rPr>
        <w:t>Education</w:t>
      </w:r>
      <w:r>
        <w:rPr>
          <w:sz w:val="20"/>
          <w:szCs w:val="20"/>
          <w:color w:val="auto"/>
        </w:rPr>
        <w:tab/>
      </w:r>
      <w:r>
        <w:rPr>
          <w:rFonts w:ascii="Arial" w:cs="Arial" w:eastAsia="Arial" w:hAnsi="Arial"/>
          <w:sz w:val="16"/>
          <w:szCs w:val="16"/>
          <w:b w:val="1"/>
          <w:bCs w:val="1"/>
          <w:color w:val="auto"/>
        </w:rPr>
        <w:t>Experience</w:t>
      </w:r>
    </w:p>
    <w:p>
      <w:pPr>
        <w:sectPr>
          <w:pgSz w:w="11900" w:h="16838" w:orient="portrait"/>
          <w:cols w:equalWidth="0" w:num="1">
            <w:col w:w="11240"/>
          </w:cols>
          <w:pgMar w:left="320" w:top="904" w:right="339" w:bottom="144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Pierre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Seccareccia</w:t>
      </w:r>
      <w:r>
        <w:rPr>
          <w:rFonts w:ascii="Arial" w:cs="Arial" w:eastAsia="Arial" w:hAnsi="Arial"/>
          <w:sz w:val="24"/>
          <w:szCs w:val="24"/>
          <w:color w:val="auto"/>
          <w:vertAlign w:val="superscript"/>
        </w:rPr>
        <w:t>(1)</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Accounting degree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École des hautes études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commerciales 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Montréal (1969). Fellow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Ordre des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comptables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professionnels agréés du</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Québec (1970).</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5"/>
        <w:spacing w:after="0"/>
        <w:rPr>
          <w:sz w:val="20"/>
          <w:szCs w:val="20"/>
          <w:color w:val="auto"/>
        </w:rPr>
      </w:pPr>
      <w:r>
        <w:rPr>
          <w:rFonts w:ascii="Arial" w:cs="Arial" w:eastAsia="Arial" w:hAnsi="Arial"/>
          <w:sz w:val="16"/>
          <w:szCs w:val="16"/>
          <w:color w:val="auto"/>
        </w:rPr>
        <w:t>Mr. Seccareccia has extensive experience in financial consulting and management. A Partner of the Coopers</w:t>
      </w:r>
    </w:p>
    <w:p>
      <w:pPr>
        <w:spacing w:after="0" w:line="46" w:lineRule="exact"/>
        <w:rPr>
          <w:sz w:val="20"/>
          <w:szCs w:val="20"/>
          <w:color w:val="auto"/>
        </w:rPr>
      </w:pPr>
    </w:p>
    <w:p>
      <w:pPr>
        <w:jc w:val="both"/>
        <w:ind w:left="5" w:hanging="5"/>
        <w:spacing w:after="0" w:line="252" w:lineRule="auto"/>
        <w:tabs>
          <w:tab w:leader="none" w:pos="2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Lybrand accounting firm from 1976 to 1998, he acted as Managing Partner for its Montreal south shore office from 1987 to 1989, for its Montreal central office from 1992 to 1996, and for its offices in the Province of Quebec from 1996 to 1998. Following the merger in 1998 of Coopers &amp; Lybrand with Price Waterhouse, he acted as Managing Partner for the Montreal office of PricewaterhouseCoopers LLP from 1998 to 2001. Since 2003, Mr. Seccareccia has acted as a full-time independent corporate director for various public and private entities.</w:t>
      </w:r>
    </w:p>
    <w:p>
      <w:pPr>
        <w:spacing w:after="0" w:line="398" w:lineRule="exact"/>
        <w:rPr>
          <w:sz w:val="20"/>
          <w:szCs w:val="20"/>
          <w:color w:val="auto"/>
        </w:rPr>
      </w:pPr>
    </w:p>
    <w:p>
      <w:pPr>
        <w:sectPr>
          <w:pgSz w:w="11900" w:h="16838" w:orient="portrait"/>
          <w:cols w:equalWidth="0" w:num="3">
            <w:col w:w="1040" w:space="220"/>
            <w:col w:w="1780" w:space="235"/>
            <w:col w:w="7965"/>
          </w:cols>
          <w:pgMar w:left="320" w:top="904" w:right="339" w:bottom="1440" w:gutter="0" w:footer="0" w:header="0"/>
          <w:type w:val="continuous"/>
        </w:sectPr>
      </w:pPr>
    </w:p>
    <w:p>
      <w:pPr>
        <w:spacing w:after="0" w:line="1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Brian Howlett</w:t>
      </w:r>
      <w:r>
        <w:rPr>
          <w:sz w:val="20"/>
          <w:szCs w:val="20"/>
          <w:color w:val="auto"/>
        </w:rPr>
        <w:tab/>
      </w:r>
      <w:r>
        <w:rPr>
          <w:rFonts w:ascii="Arial" w:cs="Arial" w:eastAsia="Arial" w:hAnsi="Arial"/>
          <w:sz w:val="16"/>
          <w:szCs w:val="16"/>
          <w:color w:val="auto"/>
        </w:rPr>
        <w:t>Bachelor of Commerce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from Concordia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University (1982). CMA</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designation (1989).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color w:val="auto"/>
        </w:rPr>
        <w:t>Andres</w:t>
      </w:r>
      <w:r>
        <w:rPr>
          <w:sz w:val="20"/>
          <w:szCs w:val="20"/>
          <w:color w:val="auto"/>
        </w:rPr>
        <w:tab/>
      </w:r>
      <w:r>
        <w:rPr>
          <w:rFonts w:ascii="Arial" w:cs="Arial" w:eastAsia="Arial" w:hAnsi="Arial"/>
          <w:sz w:val="17"/>
          <w:szCs w:val="17"/>
          <w:color w:val="auto"/>
        </w:rPr>
        <w:t>Bachelor of Economics</w:t>
      </w:r>
    </w:p>
    <w:p>
      <w:pPr>
        <w:spacing w:after="0" w:line="35"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color w:val="auto"/>
        </w:rPr>
        <w:t>Finkielsztain</w:t>
      </w:r>
      <w:r>
        <w:rPr>
          <w:sz w:val="20"/>
          <w:szCs w:val="20"/>
          <w:color w:val="auto"/>
        </w:rPr>
        <w:tab/>
      </w:r>
      <w:r>
        <w:rPr>
          <w:rFonts w:ascii="Arial" w:cs="Arial" w:eastAsia="Arial" w:hAnsi="Arial"/>
          <w:sz w:val="16"/>
          <w:szCs w:val="16"/>
          <w:color w:val="auto"/>
        </w:rPr>
        <w:t>from Bard College, New</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York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Arial" w:cs="Arial" w:eastAsia="Arial" w:hAnsi="Arial"/>
          <w:sz w:val="18"/>
          <w:szCs w:val="18"/>
          <w:color w:val="auto"/>
        </w:rPr>
        <w:t>Mr. Howlett is currently the President, Chief Executive Officer and Director of Hemlo Explorers Inc., and Voyageur Mineral Explorers Inc. Mr. Howlett also serves on the Board for several junior mining companies. Mr. Howlett recently served as the President, Chief Executive Officer and a Director of Dundee Sustainable Technologies Inc. He also formerly served as the President and Chief Financial Officer of Superior Copper Corporation. Prior to that, Mr. Howlett spent twelve years with ELI Eco Logic Inc., including six years as Chief Financial Officer.</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Mr. Finkielsztain is the Founding Managing Partner of FinkWald LLC, a private investment office specializing in private equity, real estate, media, and technology. He is also the co-head of the Special Situations division at Banco Industrial in Argentina, where he analyzes and provides financing solutions to Argentinean-based companies and institutions. Mr. Finkielsztain previously served as a financial advisor for SBI, a private investment office founded in 2011 by Alexander and Gregory Soros, and as an analyst for Emerging Markets at Soros Fund Management LLC. Mr. Finkielsztain also worked at J.P. Morgan for over 10 years in various capacities within Asset Management, including the role of Global Investment Opportunity and Emerging Markets Specialist. Mr. Finkielsztain graduated with a BA in Economics from Bard College where he served as the President of a Latin American organization.</w:t>
      </w:r>
    </w:p>
    <w:p>
      <w:pPr>
        <w:spacing w:after="0" w:line="587" w:lineRule="exact"/>
        <w:rPr>
          <w:sz w:val="20"/>
          <w:szCs w:val="20"/>
          <w:color w:val="auto"/>
        </w:rPr>
      </w:pPr>
    </w:p>
    <w:p>
      <w:pPr>
        <w:sectPr>
          <w:pgSz w:w="11900" w:h="16838" w:orient="portrait"/>
          <w:cols w:equalWidth="0" w:num="2">
            <w:col w:w="3040" w:space="240"/>
            <w:col w:w="7960"/>
          </w:cols>
          <w:pgMar w:left="320" w:top="904"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(1)  Chair of the 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Oversight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Since the commencement of the Corporation’s most recently completed financial year, there has not been a recommendation of the Audit Committee to nominate or compensate an external auditor which was not adopted by the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Audit Committee is required to pre-approve all audit and non-audit services not prohibited by law to be provided by the independent auditors of the Corporation.</w:t>
      </w: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53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External Auditor Service Fees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provides details in respect of audit, audit related, tax and other fees billed by the Corporation’s external auditor, in USD, during the fiscal years ended December 31, 2021 and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Year Ended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Year Ended</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20"/>
                <w:szCs w:val="20"/>
                <w:color w:val="auto"/>
              </w:rPr>
            </w:pPr>
          </w:p>
        </w:tc>
      </w:tr>
      <w:tr>
        <w:trPr>
          <w:trHeight w:val="270"/>
        </w:trPr>
        <w:tc>
          <w:tcPr>
            <w:tcW w:w="868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r>
      <w:tr>
        <w:trPr>
          <w:trHeight w:val="283"/>
        </w:trPr>
        <w:tc>
          <w:tcPr>
            <w:tcW w:w="8680" w:type="dxa"/>
            <w:vAlign w:val="bottom"/>
          </w:tcPr>
          <w:p>
            <w:pPr>
              <w:spacing w:after="0" w:line="284" w:lineRule="exact"/>
              <w:rPr>
                <w:sz w:val="20"/>
                <w:szCs w:val="20"/>
                <w:color w:val="auto"/>
              </w:rPr>
            </w:pPr>
            <w:r>
              <w:rPr>
                <w:rFonts w:ascii="Arial" w:cs="Arial" w:eastAsia="Arial" w:hAnsi="Arial"/>
                <w:sz w:val="18"/>
                <w:szCs w:val="18"/>
                <w:color w:val="auto"/>
              </w:rPr>
              <w:t>Audit Related Fees</w:t>
            </w:r>
            <w:r>
              <w:rPr>
                <w:rFonts w:ascii="Arial" w:cs="Arial" w:eastAsia="Arial" w:hAnsi="Arial"/>
                <w:sz w:val="29"/>
                <w:szCs w:val="29"/>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189,000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r>
      <w:tr>
        <w:trPr>
          <w:trHeight w:val="284"/>
        </w:trPr>
        <w:tc>
          <w:tcPr>
            <w:tcW w:w="8680" w:type="dxa"/>
            <w:vAlign w:val="bottom"/>
            <w:shd w:val="clear" w:color="auto" w:fill="CCEEFF"/>
          </w:tcPr>
          <w:p>
            <w:pPr>
              <w:spacing w:after="0" w:line="284"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r>
      <w:tr>
        <w:trPr>
          <w:trHeight w:val="243"/>
        </w:trPr>
        <w:tc>
          <w:tcPr>
            <w:tcW w:w="8680" w:type="dxa"/>
            <w:vAlign w:val="bottom"/>
          </w:tcPr>
          <w:p>
            <w:pPr>
              <w:spacing w:after="0"/>
              <w:rPr>
                <w:sz w:val="20"/>
                <w:szCs w:val="20"/>
                <w:color w:val="auto"/>
              </w:rPr>
            </w:pPr>
            <w:r>
              <w:rPr>
                <w:rFonts w:ascii="Arial" w:cs="Arial" w:eastAsia="Arial" w:hAnsi="Arial"/>
                <w:sz w:val="18"/>
                <w:szCs w:val="18"/>
                <w:color w:val="auto"/>
              </w:rPr>
              <w:t>All Other Fees</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nil</w:t>
            </w:r>
          </w:p>
        </w:tc>
        <w:tc>
          <w:tcPr>
            <w:tcW w:w="100" w:type="dxa"/>
            <w:vAlign w:val="bottom"/>
          </w:tcPr>
          <w:p>
            <w:pPr>
              <w:spacing w:after="0"/>
              <w:rPr>
                <w:sz w:val="21"/>
                <w:szCs w:val="21"/>
                <w:color w:val="auto"/>
              </w:rPr>
            </w:pP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nil</w:t>
            </w:r>
          </w:p>
        </w:tc>
      </w:tr>
      <w:tr>
        <w:trPr>
          <w:trHeight w:val="243"/>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22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fees billed for professional services rendered by the auditor for the audit of the Corporation’s annual financial statements.</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fees billed for professional services rendered by the auditor and consisted primarily of file quality review fees and fees for the review of quarterly financial statements, related documents and consent letters.</w:t>
      </w:r>
    </w:p>
    <w:p>
      <w:pPr>
        <w:ind w:left="340" w:hanging="332"/>
        <w:spacing w:after="0" w:line="260"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fees billed for tax compliance, tax advice and tax planning professional services. These services included reviewing tax returns and assisting in responses to government tax authorities.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Exemption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relying on any exemptions of NI 52-110.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Nomination and Compensation Committee</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Company maintains a governance, nomination and compensation committee of the Bitfarms Canada Board (“</w:t>
      </w:r>
      <w:r>
        <w:rPr>
          <w:rFonts w:ascii="Arial" w:cs="Arial" w:eastAsia="Arial" w:hAnsi="Arial"/>
          <w:sz w:val="18"/>
          <w:szCs w:val="18"/>
          <w:b w:val="1"/>
          <w:bCs w:val="1"/>
          <w:color w:val="auto"/>
        </w:rPr>
        <w:t>Governance, Nomination and</w:t>
      </w:r>
      <w:r>
        <w:rPr>
          <w:rFonts w:ascii="Arial" w:cs="Arial" w:eastAsia="Arial" w:hAnsi="Arial"/>
          <w:sz w:val="18"/>
          <w:szCs w:val="18"/>
          <w:color w:val="auto"/>
        </w:rPr>
        <w:t xml:space="preserve"> </w:t>
      </w:r>
      <w:r>
        <w:rPr>
          <w:rFonts w:ascii="Arial" w:cs="Arial" w:eastAsia="Arial" w:hAnsi="Arial"/>
          <w:sz w:val="18"/>
          <w:szCs w:val="18"/>
          <w:b w:val="1"/>
          <w:bCs w:val="1"/>
          <w:color w:val="auto"/>
        </w:rPr>
        <w:t>Compensation Committee</w:t>
      </w:r>
      <w:r>
        <w:rPr>
          <w:rFonts w:ascii="Arial" w:cs="Arial" w:eastAsia="Arial" w:hAnsi="Arial"/>
          <w:sz w:val="18"/>
          <w:szCs w:val="18"/>
          <w:color w:val="auto"/>
        </w:rPr>
        <w:t>”).</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committee is responsible for ensuring that Bitfarms Canada has in place an appropriate plan for executive compensation and for making recommendations with respect to the compensation of Bitfarms Canada’s executive officers. The Bitfarms Canada Board will ensure that total compensation paid to all NEOs is fair, reasonable, and consistent with Bitfarms Canada’s compensation philosophy.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Bitfarms Canada Board reviews, and may approve, recommendations regarding compensation to senior management and directors. A combination of fixed and variable compensation is used to motivate executive officers to achieve overall corporate goals. The three basic components of Bitfarms Canada’s executive officer compensation program are:</w:t>
      </w:r>
    </w:p>
    <w:p>
      <w:pPr>
        <w:spacing w:after="0" w:line="18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annual incentive (bonus) payments;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option and restricted share unit-based compensation.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directors of Bitfarms Canada are required by law to act honestly and in good faith with a view to the best interests of Bitfarms Canada and to disclose any interests which they may have in any project or opportunity outside of Bitfarms Canada. If a conflict of interest arises, any director in a conflict will disclose his interest and abstain from voting on such matter at a meeting of the Bitfarms Canada Board of Directors. To the best of Bitfarms Canada’s knowledge, and other than as disclosed in this AIF, there are no known existing or potential conflicts of interest among Bitfarms Canada, its promoters, directors and officers or other members of management of Bitfarms Canada or any proposed promoter, director, officer or other member of management as a result of their outside business interests, except that certain of the directors and officers serve as directors and officers of other companies, and therefore it is possible that a conflict may arise between their duties to Bitfarms Canada and their duties as a director or officer of such other companies.</w:t>
      </w: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color w:val="auto"/>
        </w:rPr>
        <w:t>54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20" w:type="dxa"/>
            <w:vAlign w:val="bottom"/>
            <w:gridSpan w:val="2"/>
          </w:tcPr>
          <w:p>
            <w:pPr>
              <w:ind w:left="2120"/>
              <w:spacing w:after="0"/>
              <w:rPr>
                <w:sz w:val="20"/>
                <w:szCs w:val="20"/>
                <w:color w:val="auto"/>
              </w:rPr>
            </w:pPr>
            <w:r>
              <w:rPr>
                <w:rFonts w:ascii="Arial" w:cs="Arial" w:eastAsia="Arial" w:hAnsi="Arial"/>
                <w:sz w:val="18"/>
                <w:szCs w:val="18"/>
                <w:b w:val="1"/>
                <w:bCs w:val="1"/>
                <w:color w:val="auto"/>
              </w:rPr>
              <w:t>PROMOTERS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40" w:type="dxa"/>
            <w:vAlign w:val="bottom"/>
            <w:gridSpan w:val="4"/>
          </w:tcPr>
          <w:p>
            <w:pPr>
              <w:spacing w:after="0"/>
              <w:rPr>
                <w:sz w:val="20"/>
                <w:szCs w:val="20"/>
                <w:color w:val="auto"/>
              </w:rPr>
            </w:pPr>
            <w:r>
              <w:rPr>
                <w:rFonts w:ascii="Arial" w:cs="Arial" w:eastAsia="Arial" w:hAnsi="Arial"/>
                <w:sz w:val="18"/>
                <w:szCs w:val="18"/>
                <w:color w:val="auto"/>
              </w:rPr>
              <w:t>The following table sets forth the Promoters of Bitfarms Canada:</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Quantity of</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Securities</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8"/>
              </w:rPr>
              <w:t>% of Class</w:t>
            </w:r>
            <w:r>
              <w:rPr>
                <w:rFonts w:ascii="Arial" w:cs="Arial" w:eastAsia="Arial" w:hAnsi="Arial"/>
                <w:sz w:val="29"/>
                <w:szCs w:val="29"/>
                <w:b w:val="1"/>
                <w:bCs w:val="1"/>
                <w:color w:val="auto"/>
                <w:w w:val="88"/>
                <w:vertAlign w:val="superscript"/>
              </w:rPr>
              <w:t>(3)</w:t>
            </w: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Borders>
              <w:bottom w:val="single" w:sz="8" w:color="CCEEFF"/>
            </w:tcBorders>
          </w:tcPr>
          <w:p>
            <w:pPr>
              <w:spacing w:after="0"/>
              <w:rPr>
                <w:sz w:val="20"/>
                <w:szCs w:val="20"/>
                <w:color w:val="auto"/>
              </w:rPr>
            </w:pPr>
          </w:p>
        </w:tc>
        <w:tc>
          <w:tcPr>
            <w:tcW w:w="5620" w:type="dxa"/>
            <w:vAlign w:val="bottom"/>
            <w:tcBorders>
              <w:bottom w:val="single" w:sz="8" w:color="auto"/>
            </w:tcBorders>
          </w:tcPr>
          <w:p>
            <w:pPr>
              <w:ind w:left="1820"/>
              <w:spacing w:after="0"/>
              <w:rPr>
                <w:sz w:val="20"/>
                <w:szCs w:val="20"/>
                <w:color w:val="auto"/>
              </w:rPr>
            </w:pPr>
            <w:r>
              <w:rPr>
                <w:rFonts w:ascii="Arial" w:cs="Arial" w:eastAsia="Arial" w:hAnsi="Arial"/>
                <w:sz w:val="18"/>
                <w:szCs w:val="18"/>
                <w:b w:val="1"/>
                <w:bCs w:val="1"/>
                <w:color w:val="auto"/>
              </w:rPr>
              <w:t>Class of Securities Owned</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Owned</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2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Emiliano Joel Grodzki</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3"/>
                <w:szCs w:val="23"/>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Bitfarms Shares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9,869,772</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gridSpan w:val="2"/>
            <w:vMerge w:val="restart"/>
          </w:tcPr>
          <w:p>
            <w:pPr>
              <w:spacing w:after="0" w:line="263" w:lineRule="exact"/>
              <w:rPr>
                <w:sz w:val="20"/>
                <w:szCs w:val="20"/>
                <w:color w:val="auto"/>
              </w:rPr>
            </w:pPr>
            <w:r>
              <w:rPr>
                <w:rFonts w:ascii="Arial" w:cs="Arial" w:eastAsia="Arial" w:hAnsi="Arial"/>
                <w:sz w:val="18"/>
                <w:szCs w:val="18"/>
                <w:color w:val="auto"/>
              </w:rPr>
              <w:t>Nicolas Bonta</w:t>
            </w:r>
            <w:r>
              <w:rPr>
                <w:rFonts w:ascii="Arial" w:cs="Arial" w:eastAsia="Arial" w:hAnsi="Arial"/>
                <w:sz w:val="29"/>
                <w:szCs w:val="29"/>
                <w:color w:val="auto"/>
                <w:vertAlign w:val="superscript"/>
              </w:rPr>
              <w:t>(2)</w:t>
            </w:r>
          </w:p>
        </w:tc>
        <w:tc>
          <w:tcPr>
            <w:tcW w:w="5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920" w:type="dxa"/>
            <w:vAlign w:val="bottom"/>
            <w:gridSpan w:val="2"/>
            <w:vMerge w:val="continue"/>
          </w:tcPr>
          <w:p>
            <w:pPr>
              <w:spacing w:after="0"/>
              <w:rPr>
                <w:sz w:val="21"/>
                <w:szCs w:val="21"/>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Bitfarms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8,862,118</w:t>
            </w:r>
          </w:p>
        </w:tc>
        <w:tc>
          <w:tcPr>
            <w:tcW w:w="2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0"/>
        </w:trPr>
        <w:tc>
          <w:tcPr>
            <w:tcW w:w="29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6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18,731,890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225" w:lineRule="exact"/>
        <w:rPr>
          <w:sz w:val="20"/>
          <w:szCs w:val="20"/>
          <w:color w:val="auto"/>
        </w:rPr>
      </w:pPr>
    </w:p>
    <w:p>
      <w:pPr>
        <w:ind w:left="340" w:right="20" w:hanging="332"/>
        <w:spacing w:after="0" w:line="258"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addition to the Bitfarms Shares noted in the table above, Mr. Grodzki holds 1,754,900 options to purchase Bitfarms Shares at an average price of CAD$5.43 per Bitfarms Canada Share and 50,000 Bitfarms Canada restricted share units. See “</w:t>
      </w:r>
      <w:r>
        <w:rPr>
          <w:rFonts w:ascii="Arial" w:cs="Arial" w:eastAsia="Arial" w:hAnsi="Arial"/>
          <w:sz w:val="18"/>
          <w:szCs w:val="18"/>
          <w:i w:val="1"/>
          <w:iCs w:val="1"/>
          <w:color w:val="auto"/>
        </w:rPr>
        <w:t>Prior Sales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addition to the Bitfarms Shares noted in the table above, Mr. Bonta holds 1,754,900 options to purchase Bitfarms Canada Shares at an average price of CAD$5.43 per Bitfarms Canada Share and 50,000 Bitfarms Canada restricted share units. See “Prior Sales”.</w:t>
      </w: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total of 201,251,602 Bitfarms Shares are issued and outstanding.</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Promoters have entered into certain non-arm’s length transactions with Backbone. See “</w:t>
      </w:r>
      <w:r>
        <w:rPr>
          <w:rFonts w:ascii="Arial" w:cs="Arial" w:eastAsia="Arial" w:hAnsi="Arial"/>
          <w:sz w:val="18"/>
          <w:szCs w:val="18"/>
          <w:i w:val="1"/>
          <w:iCs w:val="1"/>
          <w:color w:val="auto"/>
        </w:rPr>
        <w:t>INTEREST OF MANAGEMENT AND OTHERS IN</w:t>
      </w:r>
      <w:r>
        <w:rPr>
          <w:rFonts w:ascii="Arial" w:cs="Arial" w:eastAsia="Arial" w:hAnsi="Arial"/>
          <w:sz w:val="18"/>
          <w:szCs w:val="18"/>
          <w:color w:val="auto"/>
        </w:rPr>
        <w:t xml:space="preserve"> </w:t>
      </w:r>
      <w:r>
        <w:rPr>
          <w:rFonts w:ascii="Arial" w:cs="Arial" w:eastAsia="Arial" w:hAnsi="Arial"/>
          <w:sz w:val="18"/>
          <w:szCs w:val="18"/>
          <w:i w:val="1"/>
          <w:iCs w:val="1"/>
          <w:color w:val="auto"/>
        </w:rPr>
        <w:t>MATERIAL TRANSACTIONS - Transactions with Related Parties</w:t>
      </w:r>
      <w:r>
        <w:rPr>
          <w:rFonts w:ascii="Arial" w:cs="Arial" w:eastAsia="Arial" w:hAnsi="Arial"/>
          <w:sz w:val="18"/>
          <w:szCs w:val="18"/>
          <w:color w:val="auto"/>
        </w:rPr>
        <w: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Promoter was within the 10 years before the date of this AIF a director, CEO, or CFO of a person or company that was subject to an order while or after that Promoter was acting in that capacity.</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INTEREST OF MANAGEMENT AND OTHERS IN MATERIAL TRANSACTIONS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disclosed herein and elsewhere in this AIF, no directors, officers, principal shareholders of Backbone, nor any Associate or Affiliate of the foregoing, have had any material interest, direct or indirect, in any transactions in which Backbone has participated prior to the date of this AIF that has materially affected or is reasonably expected to materially affect Backbone or a subsidiary of Backbone.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transactions with related parties other than as disclosed below.</w:t>
      </w:r>
    </w:p>
    <w:p>
      <w:pPr>
        <w:spacing w:after="0" w:line="225" w:lineRule="exact"/>
        <w:rPr>
          <w:sz w:val="20"/>
          <w:szCs w:val="20"/>
          <w:color w:val="auto"/>
        </w:rPr>
      </w:pPr>
    </w:p>
    <w:p>
      <w:pPr>
        <w:jc w:val="both"/>
        <w:ind w:left="620" w:hanging="302"/>
        <w:spacing w:after="0" w:line="263"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Backbone is charged for telecommunication expenses by GloboTech Communications Inc., a company controlled by Pierre-Luc Quimper. These charges relate to Internet hosting, data management and server support for all of the Mining operations of Backbone. Mr. Quimper resigned as Officer and Director of the Company on October 3, 2019.</w:t>
      </w:r>
    </w:p>
    <w:p>
      <w:pPr>
        <w:spacing w:after="0" w:line="183" w:lineRule="exact"/>
        <w:rPr>
          <w:rFonts w:ascii="Arial" w:cs="Arial" w:eastAsia="Arial" w:hAnsi="Arial"/>
          <w:sz w:val="18"/>
          <w:szCs w:val="18"/>
          <w:color w:val="auto"/>
        </w:rPr>
      </w:pPr>
    </w:p>
    <w:p>
      <w:pPr>
        <w:jc w:val="both"/>
        <w:ind w:left="620" w:hanging="302"/>
        <w:spacing w:after="0" w:line="259"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Backbone was charged rent expense pursuant to a lease agreement with 9930272 Canada Inc. (a company controlled by the Backbone Exchangeable Shareholders) regarding the facilities at Cowansville, Québec. As of August 2019, the Cowansville building was sold to an arms length party and a new lease agreement was signed. The sale of the Cowansville building resulted in a reduction in monthly rent paid to related parties in the amount of $14,400.</w:t>
      </w:r>
    </w:p>
    <w:p>
      <w:pPr>
        <w:spacing w:after="0" w:line="186" w:lineRule="exact"/>
        <w:rPr>
          <w:rFonts w:ascii="Arial" w:cs="Arial" w:eastAsia="Arial" w:hAnsi="Arial"/>
          <w:sz w:val="18"/>
          <w:szCs w:val="18"/>
          <w:color w:val="auto"/>
        </w:rPr>
      </w:pPr>
    </w:p>
    <w:p>
      <w:pPr>
        <w:ind w:left="620" w:right="20" w:hanging="302"/>
        <w:spacing w:after="0" w:line="308" w:lineRule="auto"/>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Backbone entered into consulting agreements with two of the directors, Emiliano Joel Grodzki and Nicolas Bonta. The consulting fees charged by directors totaled approximately $625,000 for the year ended December 31, 2021 (year ended December 31, 2020 - $379,000).</w:t>
      </w:r>
    </w:p>
    <w:p>
      <w:pPr>
        <w:spacing w:after="0" w:line="146" w:lineRule="exact"/>
        <w:rPr>
          <w:rFonts w:ascii="Arial" w:cs="Arial" w:eastAsia="Arial" w:hAnsi="Arial"/>
          <w:sz w:val="17"/>
          <w:szCs w:val="17"/>
          <w:color w:val="auto"/>
        </w:rPr>
      </w:pPr>
    </w:p>
    <w:p>
      <w:pPr>
        <w:ind w:left="620" w:hanging="302"/>
        <w:spacing w:after="0" w:line="277"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was charged rent expense of approximately $475,000 for the year ended December 31, 2021 (for the year ended December 31, 2020: $440,000) to companies controlled by certain directors pursuant to the Onyx License Agreement.</w:t>
      </w: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55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left="620" w:hanging="302"/>
        <w:spacing w:after="0" w:line="257"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April 12, 2018, Blockchain Mining Ltd., Backbone Hosting Solutions Inc. and certain founding Canadian shareholders of Backbone Hosting Solutions Inc. (the “</w:t>
      </w:r>
      <w:r>
        <w:rPr>
          <w:rFonts w:ascii="Arial" w:cs="Arial" w:eastAsia="Arial" w:hAnsi="Arial"/>
          <w:sz w:val="18"/>
          <w:szCs w:val="18"/>
          <w:b w:val="1"/>
          <w:bCs w:val="1"/>
          <w:color w:val="auto"/>
        </w:rPr>
        <w:t>Founding Shareholders</w:t>
      </w:r>
      <w:r>
        <w:rPr>
          <w:rFonts w:ascii="Arial" w:cs="Arial" w:eastAsia="Arial" w:hAnsi="Arial"/>
          <w:sz w:val="18"/>
          <w:szCs w:val="18"/>
          <w:color w:val="auto"/>
        </w:rPr>
        <w:t xml:space="preserve">”) entered into a Put Call Agreement. (the </w:t>
      </w:r>
      <w:r>
        <w:rPr>
          <w:rFonts w:ascii="Arial" w:cs="Arial" w:eastAsia="Arial" w:hAnsi="Arial"/>
          <w:sz w:val="18"/>
          <w:szCs w:val="18"/>
          <w:b w:val="1"/>
          <w:bCs w:val="1"/>
          <w:color w:val="auto"/>
        </w:rPr>
        <w:t>“Put Call Agreement</w:t>
      </w:r>
      <w:r>
        <w:rPr>
          <w:rFonts w:ascii="Arial" w:cs="Arial" w:eastAsia="Arial" w:hAnsi="Arial"/>
          <w:sz w:val="18"/>
          <w:szCs w:val="18"/>
          <w:color w:val="auto"/>
        </w:rPr>
        <w:t>”) pursuant to which the Founding Shareholders were granted exchangeable shares of Blockchain Mining Ltd. (the “</w:t>
      </w:r>
      <w:r>
        <w:rPr>
          <w:rFonts w:ascii="Arial" w:cs="Arial" w:eastAsia="Arial" w:hAnsi="Arial"/>
          <w:sz w:val="18"/>
          <w:szCs w:val="18"/>
          <w:b w:val="1"/>
          <w:bCs w:val="1"/>
          <w:color w:val="auto"/>
        </w:rPr>
        <w:t>Backbone Exchangeable Shares</w:t>
      </w:r>
      <w:r>
        <w:rPr>
          <w:rFonts w:ascii="Arial" w:cs="Arial" w:eastAsia="Arial" w:hAnsi="Arial"/>
          <w:sz w:val="18"/>
          <w:szCs w:val="18"/>
          <w:color w:val="auto"/>
        </w:rPr>
        <w:t>”). Effective June 12, 2019, the Put Call Agreement was terminated, and each Backbone Exchangeable Share was exchanged for one Bitfarms Canada Share resulting in the issuance of 17,335,090 Bitfarms Shares. See “</w:t>
      </w:r>
      <w:r>
        <w:rPr>
          <w:rFonts w:ascii="Arial" w:cs="Arial" w:eastAsia="Arial" w:hAnsi="Arial"/>
          <w:sz w:val="18"/>
          <w:szCs w:val="18"/>
          <w:i w:val="1"/>
          <w:iCs w:val="1"/>
          <w:color w:val="auto"/>
        </w:rPr>
        <w:t>PRIOR SALES</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87" w:lineRule="exact"/>
        <w:rPr>
          <w:rFonts w:ascii="Arial" w:cs="Arial" w:eastAsia="Arial" w:hAnsi="Arial"/>
          <w:sz w:val="18"/>
          <w:szCs w:val="18"/>
          <w:color w:val="auto"/>
        </w:rPr>
      </w:pPr>
    </w:p>
    <w:p>
      <w:pPr>
        <w:jc w:val="both"/>
        <w:ind w:left="620" w:hanging="302"/>
        <w:spacing w:after="0" w:line="286" w:lineRule="auto"/>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Backbone sold 627 Bitcoin for the twelve-month period ended December 31, 2019 to a company which, at the time of such sales, had a director, Roy Sebag, who was also a shareholder of Bitfarms Ltd. (Israel) for $2,283,000. The company Backbone sold Bitcoin to ceased operating in the cryptocurrency industry as of March 11, 2019, and since that date Bitfarms has not transacted with this company.</w:t>
      </w:r>
    </w:p>
    <w:p>
      <w:pPr>
        <w:spacing w:after="0" w:line="165"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Volta rendered electrical services to a former director, Pierre-Luc Quimper, in the amount of $12,000 for the twelve-month period ended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above transactions were incurred in the normal course of operations.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Other than as set forth in this AIF, the management of Bitfarms Canada is not aware of any material interest, direct or indirect, of any director, executive officer, any Person or Company beneficially owning, controlling or directing, directly or indirectly, more than ten (10%) percent of Bitfarms Canada’s outstanding voting securities, or any Associate or Affiliate of the foregoing Persons, in any transaction in which Bitfarms Canada has participated within the three years before the date of this AIF, that has materially affected or is reasonably expected to materially affect Bitfarms Canada.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pending legal proceedings to which the Company is or was party to, or that any of its property is or was the subject of, and Bitfarms Canada is not aware of any such proceedings known to be contemplated.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Actions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 penalties or sanctions were imposed against the Company by a court relating to provincial and territorial securities legislation or by a securities regulatory authority since incorporation. No other penalties or sanctions have been imposed by a court or regulatory body against the Company necessary for this AIF to contain full, true and plain disclosure of all material facts. The Company has not entered into any settlement agreements before a court relating to provincial and territorial securities legislation or with a securities regulatory authority since incorporation.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Bitfarms Canada’s registrar and transfer agent is TSX Trust Company, located at 100 Adelaide Street West, Suite 301, Toronto, Ontario M5H 4H1.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CONTRACTS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for contracts made in the ordinary course of business, the following are the only material contracts entered into by Backbone, Bitfarms Israel and Bitfarms Canada which are currently in effect and considered to be material.</w:t>
      </w:r>
    </w:p>
    <w:p>
      <w:pPr>
        <w:spacing w:after="0" w:line="166" w:lineRule="exact"/>
        <w:rPr>
          <w:sz w:val="20"/>
          <w:szCs w:val="20"/>
          <w:color w:val="auto"/>
        </w:rPr>
      </w:pPr>
    </w:p>
    <w:p>
      <w:pPr>
        <w:jc w:val="both"/>
        <w:ind w:left="660" w:hanging="328"/>
        <w:spacing w:after="0" w:line="289"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revolving credit agreement between the Company and Galaxy Digital LLC (“</w:t>
      </w:r>
      <w:r>
        <w:rPr>
          <w:rFonts w:ascii="Arial" w:cs="Arial" w:eastAsia="Arial" w:hAnsi="Arial"/>
          <w:sz w:val="17"/>
          <w:szCs w:val="17"/>
          <w:b w:val="1"/>
          <w:bCs w:val="1"/>
          <w:color w:val="auto"/>
        </w:rPr>
        <w:t>Galaxy Digital</w:t>
      </w:r>
      <w:r>
        <w:rPr>
          <w:rFonts w:ascii="Arial" w:cs="Arial" w:eastAsia="Arial" w:hAnsi="Arial"/>
          <w:sz w:val="17"/>
          <w:szCs w:val="17"/>
          <w:color w:val="auto"/>
        </w:rPr>
        <w:t>”), pursuant to which Galaxy Digital agreed to make loans up to a maximum amount of USD$100,000,000 on a revolving basis, for successive one-year terms annually, unless either party provides notice of a desire to terminate the contract no less than ten (10) days prior to the end of such one-year period.</w:t>
      </w: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color w:val="auto"/>
        </w:rPr>
        <w:t>56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ind w:left="660" w:hanging="328"/>
        <w:spacing w:after="0" w:line="28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custodial services agreement between the Company and Coinbase Custody Trust Company, LLC (“</w:t>
      </w:r>
      <w:r>
        <w:rPr>
          <w:rFonts w:ascii="Arial" w:cs="Arial" w:eastAsia="Arial" w:hAnsi="Arial"/>
          <w:sz w:val="18"/>
          <w:szCs w:val="18"/>
          <w:b w:val="1"/>
          <w:bCs w:val="1"/>
          <w:color w:val="auto"/>
        </w:rPr>
        <w:t>Coinbase</w:t>
      </w:r>
      <w:r>
        <w:rPr>
          <w:rFonts w:ascii="Arial" w:cs="Arial" w:eastAsia="Arial" w:hAnsi="Arial"/>
          <w:sz w:val="18"/>
          <w:szCs w:val="18"/>
          <w:color w:val="auto"/>
        </w:rPr>
        <w:t>”) pursuant to which the Company appointed Coinbase to act as its provider of custodial services for the purpose of storing digital assets.</w:t>
      </w:r>
    </w:p>
    <w:p>
      <w:pPr>
        <w:spacing w:after="0" w:line="16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sales contract between the Company and Inchigle Technology Hong Kong Limited, an affiliate of MicroBT, pursuant to which the Company purchased 12,000 Miners for total consideration of US$51,072,000.</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sales contract between the Company and SuperAcme Technology (Hong Kong) Limited, an affiliate of MicroBT, pursuant to which the Company purchased 24,000 Miners for total consideration of US$89,808,000.</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sales contract between the Company and Shenzhen DJ Technology Co., Ltd, an affiliate of MicroBT. Pursuant to which the Company purchased 12,000 Miners for total consideration of US$48,571,200.</w:t>
      </w:r>
    </w:p>
    <w:p>
      <w:pPr>
        <w:spacing w:after="0" w:line="170"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 eight-year power purchase agreement between the Company and Generacion Mediterranea S.A. (GMSA) pursuant to which the Company secured up to 210 MW of natural gas-powered energy. The agreement establishes that GMSA will supply the Company with power at a rate of $0.02 per kilowatt hour for the first four years, up to a maximum amount of 1,103,760 megawatt hours per year, subject to certain pro-rata adjustments and requiring the Company and GMSA to negotiate in good faith the price of any energy that is excluded from the 1,103,760 megawatt hours per year, or the annual amount of megawatt hours determined after the pro-rata adjustments. The pricing on the remaining four years of the eight year energy contract will be determined by a formula that is largely dependent on natural gas prices.</w:t>
      </w:r>
    </w:p>
    <w:p>
      <w:pPr>
        <w:spacing w:after="0" w:line="17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Names of Experts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Independent Registered Public Accounting Firm of Bitfarms Canada is PricewaterhouseCoopers LLP, PwC Centre, 354 Davis Road, Suite 600, Oakville, Ontario, Canada L6J 0C5 as of June 18, 2020. PricewaterhouseCoopers LLP has prepared the Report of Independent Registered Public Accounting Firm and audited the financial statements of Bitfarms Canada for the years ended December 31, 2021 and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Experts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consolidated financial statements of the Company for the years ended December 31, 2021 and 2020 have been audited by PricewaterhouseCoopers LLP. As at December 31, 2021 and 2020, PricewaterhouseCoopers LLP has advised that they are independent with respect to the Company within the meaning of the Chartered Professional Accountants of Ontario CPA Code of Professional Conduct and the rules of the US Securities and Exchange Commission and the requirements of the Public Company Accounting Oversight Board Rule 3520, Auditor Independence</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person or company whose profession or business gives authority to a report, valuation, statement or opinion and who is named as having prepared or certified a part of this AIF or as having prepared or certified a report or valuation described or included in this AIF holds or is to hold any beneficial or registered interest, direct or indirect, in any securities or property of Bitfarms Canada, Backbone, Bitfarms Israel or any associate or affiliate of Bitfarms Canada, Backbone or Bitfarms Israel.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information relating to the Company, including financial information in the Company’s Financial Statements and MD&amp;A for Fiscal 2020, is available on SEDAR at www.sedar.com. Moreover, additional information, including directors’ and officers’ remuneration and indebtedness, principal holders of the Company’s securities and securities authorized for issuance under equity compensation plans, if applicable, is contained in the Company’s information circular for its most recent annual meeting of securityholders.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57 | 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BITFARMS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207" w:lineRule="exact"/>
        <w:rPr>
          <w:sz w:val="20"/>
          <w:szCs w:val="20"/>
          <w:color w:val="auto"/>
        </w:rPr>
      </w:pPr>
    </w:p>
    <w:p>
      <w:pPr>
        <w:ind w:firstLine="647"/>
        <w:spacing w:after="0" w:line="282" w:lineRule="auto"/>
        <w:rPr>
          <w:sz w:val="20"/>
          <w:szCs w:val="20"/>
          <w:color w:val="auto"/>
        </w:rPr>
      </w:pPr>
      <w:r>
        <w:rPr>
          <w:rFonts w:ascii="Arial" w:cs="Arial" w:eastAsia="Arial" w:hAnsi="Arial"/>
          <w:sz w:val="18"/>
          <w:szCs w:val="18"/>
          <w:color w:val="auto"/>
        </w:rPr>
        <w:t>This charter (the “</w:t>
      </w:r>
      <w:r>
        <w:rPr>
          <w:rFonts w:ascii="Arial" w:cs="Arial" w:eastAsia="Arial" w:hAnsi="Arial"/>
          <w:sz w:val="18"/>
          <w:szCs w:val="18"/>
          <w:b w:val="1"/>
          <w:bCs w:val="1"/>
          <w:color w:val="auto"/>
        </w:rPr>
        <w:t>Charter</w:t>
      </w:r>
      <w:r>
        <w:rPr>
          <w:rFonts w:ascii="Arial" w:cs="Arial" w:eastAsia="Arial" w:hAnsi="Arial"/>
          <w:sz w:val="18"/>
          <w:szCs w:val="18"/>
          <w:color w:val="auto"/>
        </w:rPr>
        <w:t>”) sets forth the purpose, composition, responsibilities and authority of the Audit Committee (the “</w:t>
      </w:r>
      <w:r>
        <w:rPr>
          <w:rFonts w:ascii="Arial" w:cs="Arial" w:eastAsia="Arial" w:hAnsi="Arial"/>
          <w:sz w:val="18"/>
          <w:szCs w:val="18"/>
          <w:b w:val="1"/>
          <w:bCs w:val="1"/>
          <w:color w:val="auto"/>
        </w:rPr>
        <w:t>Committee</w:t>
      </w:r>
      <w:r>
        <w:rPr>
          <w:rFonts w:ascii="Arial" w:cs="Arial" w:eastAsia="Arial" w:hAnsi="Arial"/>
          <w:sz w:val="18"/>
          <w:szCs w:val="18"/>
          <w:color w:val="auto"/>
        </w:rPr>
        <w:t>”) of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Bitfarms Ltd. (“</w:t>
      </w:r>
      <w:r>
        <w:rPr>
          <w:rFonts w:ascii="Arial" w:cs="Arial" w:eastAsia="Arial" w:hAnsi="Arial"/>
          <w:sz w:val="18"/>
          <w:szCs w:val="18"/>
          <w:b w:val="1"/>
          <w:bCs w:val="1"/>
          <w:color w:val="auto"/>
        </w:rPr>
        <w:t>Bitfarms Canada</w:t>
      </w:r>
      <w:r>
        <w:rPr>
          <w:rFonts w:ascii="Arial" w:cs="Arial" w:eastAsia="Arial" w:hAnsi="Arial"/>
          <w:sz w:val="18"/>
          <w:szCs w:val="18"/>
          <w:color w:val="auto"/>
        </w:rPr>
        <w:t>” or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Mandate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Committee shall:</w:t>
      </w:r>
    </w:p>
    <w:p>
      <w:pPr>
        <w:spacing w:after="0" w:line="225" w:lineRule="exact"/>
        <w:rPr>
          <w:sz w:val="20"/>
          <w:szCs w:val="20"/>
          <w:color w:val="auto"/>
        </w:rPr>
      </w:pPr>
    </w:p>
    <w:p>
      <w:pPr>
        <w:ind w:left="1380" w:hanging="562"/>
        <w:spacing w:after="0"/>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assist the Board in its oversight role with respect to the quality and integrity of the financial information;</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assess the effectiveness of the Corporation’s risk management and compliance practices;</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assess the independent auditor’s performance, qualifications and independence;</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assess the performance of the Corporation’s internal audit function;</w:t>
      </w:r>
    </w:p>
    <w:p>
      <w:pPr>
        <w:spacing w:after="0" w:line="225" w:lineRule="exact"/>
        <w:rPr>
          <w:rFonts w:ascii="Arial" w:cs="Arial" w:eastAsia="Arial" w:hAnsi="Arial"/>
          <w:sz w:val="18"/>
          <w:szCs w:val="18"/>
          <w:color w:val="auto"/>
        </w:rPr>
      </w:pPr>
    </w:p>
    <w:p>
      <w:pPr>
        <w:ind w:left="1380" w:hanging="562"/>
        <w:spacing w:after="0"/>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ensure the Corporation’s compliance with legal and regulatory requirements; and</w:t>
      </w:r>
    </w:p>
    <w:p>
      <w:pPr>
        <w:spacing w:after="0" w:line="225" w:lineRule="exact"/>
        <w:rPr>
          <w:rFonts w:ascii="Arial" w:cs="Arial" w:eastAsia="Arial" w:hAnsi="Arial"/>
          <w:sz w:val="18"/>
          <w:szCs w:val="18"/>
          <w:color w:val="auto"/>
        </w:rPr>
      </w:pPr>
    </w:p>
    <w:p>
      <w:pPr>
        <w:ind w:left="1380" w:hanging="562"/>
        <w:spacing w:after="0" w:line="277" w:lineRule="auto"/>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prepare such reports of the Committee required to be included in any Management Information Circular in accordance with applicable laws or the rules of applicable securities regulatory authorities.</w:t>
      </w:r>
    </w:p>
    <w:p>
      <w:pPr>
        <w:spacing w:after="0" w:line="16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Composition and Membership</w:t>
      </w:r>
    </w:p>
    <w:p>
      <w:pPr>
        <w:spacing w:after="0" w:line="229"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The committee shall be composed of not less than three members, each of whom shall be a director of the Corporation. A majority of the members of the Committee shall not be an officer or employee of the Corporation. All members shall satisfy the applicable independence and experience requirements of the laws governing the Corporation, the applicable stock exchanges on which the Corporation’s securities are listed and applicable securities regulatory authorities.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member of the Committee shall be financially literate as such qualification is interpreted by the Board of Directors in its business judgment.</w:t>
      </w:r>
    </w:p>
    <w:p>
      <w:pPr>
        <w:spacing w:after="0" w:line="248"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7"/>
          <w:szCs w:val="17"/>
          <w:color w:val="auto"/>
        </w:rPr>
        <w:t>Members of the Committee shall be appointed or reappointed at the annual meeting of the Corporation and in the normal course of business will serve a minimum of three years. Each member shall continue to be a member of the Committee until a successor is appointed, unless the member resigns, is removed or ceases to be a Director. The Board of Directors may fill a vacancy that occurs in the Committee at any time.</w:t>
      </w:r>
    </w:p>
    <w:p>
      <w:pPr>
        <w:spacing w:after="0" w:line="165"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The Board of Directors or, in the event of its failure to do so, the members of the Committee, shall appoint or reappoint, at the annual meeting of the Corporation a Chair among their number. The Chair shall not be a former Officer of the Corporation. Such Chair shall serve as a liaison between members and senior management.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firstLine="647"/>
        <w:spacing w:after="0" w:line="277" w:lineRule="auto"/>
        <w:rPr>
          <w:sz w:val="20"/>
          <w:szCs w:val="20"/>
          <w:color w:val="auto"/>
        </w:rPr>
      </w:pPr>
      <w:r>
        <w:rPr>
          <w:rFonts w:ascii="Arial" w:cs="Arial" w:eastAsia="Arial" w:hAnsi="Arial"/>
          <w:sz w:val="18"/>
          <w:szCs w:val="18"/>
          <w:color w:val="auto"/>
        </w:rPr>
        <w:t>The time and place of meetings of the Committee and the procedure at such meetings shall be determined from time to time by the members therefore provided that:</w:t>
      </w:r>
    </w:p>
    <w:p>
      <w:pPr>
        <w:spacing w:after="0" w:line="170" w:lineRule="exact"/>
        <w:rPr>
          <w:sz w:val="20"/>
          <w:szCs w:val="20"/>
          <w:color w:val="auto"/>
        </w:rPr>
      </w:pPr>
    </w:p>
    <w:p>
      <w:pPr>
        <w:ind w:left="1380" w:hanging="643"/>
        <w:spacing w:after="0"/>
        <w:tabs>
          <w:tab w:leader="none" w:pos="1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quorum for meetings shall be at least three members;</w:t>
      </w:r>
    </w:p>
    <w:p>
      <w:pPr>
        <w:spacing w:after="0" w:line="225" w:lineRule="exact"/>
        <w:rPr>
          <w:rFonts w:ascii="Arial" w:cs="Arial" w:eastAsia="Arial" w:hAnsi="Arial"/>
          <w:sz w:val="18"/>
          <w:szCs w:val="18"/>
          <w:color w:val="auto"/>
        </w:rPr>
      </w:pPr>
    </w:p>
    <w:p>
      <w:pPr>
        <w:ind w:left="1380" w:hanging="643"/>
        <w:spacing w:after="0"/>
        <w:tabs>
          <w:tab w:leader="none" w:pos="1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Committee shall meet at least quarterly;</w:t>
      </w:r>
    </w:p>
    <w:p>
      <w:pPr>
        <w:spacing w:after="0" w:line="225" w:lineRule="exact"/>
        <w:rPr>
          <w:rFonts w:ascii="Arial" w:cs="Arial" w:eastAsia="Arial" w:hAnsi="Arial"/>
          <w:sz w:val="18"/>
          <w:szCs w:val="18"/>
          <w:color w:val="auto"/>
        </w:rPr>
      </w:pPr>
    </w:p>
    <w:p>
      <w:pPr>
        <w:ind w:left="1380" w:right="20" w:hanging="643"/>
        <w:spacing w:after="0" w:line="277" w:lineRule="auto"/>
        <w:tabs>
          <w:tab w:leader="none" w:pos="1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notice of the time and place of every meeting shall be given in writing or by telephone, facsimile, email or other electronic communication to each member of the Committee at least 24 hours in advance of such meeting;</w:t>
      </w:r>
    </w:p>
    <w:p>
      <w:pPr>
        <w:spacing w:after="0" w:line="170" w:lineRule="exact"/>
        <w:rPr>
          <w:rFonts w:ascii="Arial" w:cs="Arial" w:eastAsia="Arial" w:hAnsi="Arial"/>
          <w:sz w:val="18"/>
          <w:szCs w:val="18"/>
          <w:color w:val="auto"/>
        </w:rPr>
      </w:pPr>
    </w:p>
    <w:p>
      <w:pPr>
        <w:ind w:left="1380" w:hanging="643"/>
        <w:spacing w:after="0" w:line="277" w:lineRule="auto"/>
        <w:tabs>
          <w:tab w:leader="none" w:pos="1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resolution in writing signed by all directors entitled to vote on that resolution at a meeting of the Committee is as valid as if it had been passed at a meeting of the Committee.</w:t>
      </w:r>
    </w:p>
    <w:p>
      <w:pPr>
        <w:spacing w:after="0" w:line="170" w:lineRule="exact"/>
        <w:rPr>
          <w:sz w:val="20"/>
          <w:szCs w:val="20"/>
          <w:color w:val="auto"/>
        </w:rPr>
      </w:pPr>
    </w:p>
    <w:p>
      <w:pPr>
        <w:jc w:val="both"/>
        <w:ind w:firstLine="647"/>
        <w:spacing w:after="0" w:line="273" w:lineRule="auto"/>
        <w:rPr>
          <w:sz w:val="20"/>
          <w:szCs w:val="20"/>
          <w:color w:val="auto"/>
        </w:rPr>
      </w:pPr>
      <w:r>
        <w:rPr>
          <w:rFonts w:ascii="Arial" w:cs="Arial" w:eastAsia="Arial" w:hAnsi="Arial"/>
          <w:sz w:val="17"/>
          <w:szCs w:val="17"/>
          <w:color w:val="auto"/>
        </w:rPr>
        <w:t>The Committee shall report to the Board of Directors on its activities after each of its meetings. The Committee shall review and assess the adequacy of this charter annually and, where necessary, will recommend changes to the Board of Directors for its approval. The Committee shall undertake and review with the Board of Directors an annual performance evaluation of the Committee, which shall compare the performance of the Committee with the requirements of this charter and set forth the goals and objectives of the Committee for the upcoming year. The performance evaluation by the Committee shall be conducted in such manner as the Committee deems appropriate. The report to the Board of Directors may take the form of an oral report by the chairperson of the Committee or any other designated member of the Committee.</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5"/>
          <w:szCs w:val="15"/>
          <w:b w:val="1"/>
          <w:bCs w:val="1"/>
          <w:color w:val="auto"/>
        </w:rPr>
        <w:t>Duties and Responsibilities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4.1 Oversight of the Independent Auditor</w:t>
      </w:r>
    </w:p>
    <w:p>
      <w:pPr>
        <w:spacing w:after="0" w:line="225" w:lineRule="exact"/>
        <w:rPr>
          <w:sz w:val="20"/>
          <w:szCs w:val="20"/>
          <w:color w:val="auto"/>
        </w:rPr>
      </w:pPr>
    </w:p>
    <w:p>
      <w:pPr>
        <w:jc w:val="both"/>
        <w:ind w:left="1380" w:hanging="481"/>
        <w:spacing w:after="0" w:line="259" w:lineRule="auto"/>
        <w:tabs>
          <w:tab w:leader="none" w:pos="1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Sole authority to appoint or replace the independent auditor (subject to shareholder ratification) and responsibility for the compensation and oversight of the work of the independent auditor (including resolution of disagreements between Management and the independent auditor regarding financial reporting) for the purpose of preparing or issuing an audit report or related work. The independent auditor shall report directly to the Committee.</w:t>
      </w:r>
    </w:p>
    <w:p>
      <w:pPr>
        <w:spacing w:after="0" w:line="186" w:lineRule="exact"/>
        <w:rPr>
          <w:rFonts w:ascii="Arial" w:cs="Arial" w:eastAsia="Arial" w:hAnsi="Arial"/>
          <w:sz w:val="18"/>
          <w:szCs w:val="18"/>
          <w:color w:val="auto"/>
        </w:rPr>
      </w:pPr>
    </w:p>
    <w:p>
      <w:pPr>
        <w:ind w:left="1380" w:hanging="481"/>
        <w:spacing w:after="0" w:line="277" w:lineRule="auto"/>
        <w:tabs>
          <w:tab w:leader="none" w:pos="1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Sole authority to pre-approve all audit services as well as non-audit services (including the fees, terms and conditions for the performance of such services) to be performed by the independent auditor.</w:t>
      </w:r>
    </w:p>
    <w:p>
      <w:pPr>
        <w:spacing w:after="0" w:line="170" w:lineRule="exact"/>
        <w:rPr>
          <w:rFonts w:ascii="Arial" w:cs="Arial" w:eastAsia="Arial" w:hAnsi="Arial"/>
          <w:sz w:val="18"/>
          <w:szCs w:val="18"/>
          <w:color w:val="auto"/>
        </w:rPr>
      </w:pPr>
    </w:p>
    <w:p>
      <w:pPr>
        <w:jc w:val="both"/>
        <w:ind w:left="1380" w:hanging="481"/>
        <w:spacing w:after="0" w:line="286" w:lineRule="auto"/>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Evaluate the qualifications, performance and independence of the independent auditor, including (i) reviewing and evaluating the lead partner on the independent auditor's engagement with the Corporation, and (ii) considering whether the auditor's quality controls are adequate and the provision of permitted non-audit services is compatible with maintaining the auditor's independence.</w:t>
      </w:r>
    </w:p>
    <w:p>
      <w:pPr>
        <w:spacing w:after="0" w:line="165" w:lineRule="exact"/>
        <w:rPr>
          <w:rFonts w:ascii="Arial" w:cs="Arial" w:eastAsia="Arial" w:hAnsi="Arial"/>
          <w:sz w:val="17"/>
          <w:szCs w:val="17"/>
          <w:color w:val="auto"/>
        </w:rPr>
      </w:pPr>
    </w:p>
    <w:p>
      <w:pPr>
        <w:jc w:val="both"/>
        <w:ind w:left="1380" w:hanging="481"/>
        <w:spacing w:after="0" w:line="257" w:lineRule="auto"/>
        <w:tabs>
          <w:tab w:leader="none" w:pos="1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and review a report from the independent auditor at least annually regarding: the independent auditor's internal quality-control procedures; any material issues raised by the most recent internal quality-control review, or peer review, of the firm, or by any inquiry or investigation by governmental or professional authorities within the preceding five years respecting one or more independent audits carried out by the firm; any steps taken to deal with any such issues; and all relationships between the independent auditor and the Corporation.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ind w:left="1380" w:right="20" w:hanging="481"/>
        <w:spacing w:after="0" w:line="277" w:lineRule="auto"/>
        <w:tabs>
          <w:tab w:leader="none" w:pos="1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 prior to the annual audit the scope, planning and staffing of the annual audit.</w:t>
      </w:r>
    </w:p>
    <w:p>
      <w:pPr>
        <w:spacing w:after="0" w:line="170" w:lineRule="exact"/>
        <w:rPr>
          <w:rFonts w:ascii="Arial" w:cs="Arial" w:eastAsia="Arial" w:hAnsi="Arial"/>
          <w:sz w:val="18"/>
          <w:szCs w:val="18"/>
          <w:color w:val="auto"/>
        </w:rPr>
      </w:pPr>
    </w:p>
    <w:p>
      <w:pPr>
        <w:ind w:left="1380" w:hanging="481"/>
        <w:spacing w:after="0" w:line="277" w:lineRule="auto"/>
        <w:tabs>
          <w:tab w:leader="none" w:pos="1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Ensure the rotation of the lead (or coordinating) audit partner having primary responsibility for the audit and the audit partner responsible for reviewing the audit as required by law.</w:t>
      </w:r>
    </w:p>
    <w:p>
      <w:pPr>
        <w:spacing w:after="0" w:line="170" w:lineRule="exact"/>
        <w:rPr>
          <w:rFonts w:ascii="Arial" w:cs="Arial" w:eastAsia="Arial" w:hAnsi="Arial"/>
          <w:sz w:val="18"/>
          <w:szCs w:val="18"/>
          <w:color w:val="auto"/>
        </w:rPr>
      </w:pPr>
    </w:p>
    <w:p>
      <w:pPr>
        <w:ind w:left="1400" w:right="20" w:hanging="488"/>
        <w:spacing w:after="0" w:line="277" w:lineRule="auto"/>
        <w:tabs>
          <w:tab w:leader="none" w:pos="14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Review as necessary policies for the Corporation's hiring of partners, employees or former partners and employees of the independent auditor.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4.2 Financial Reporting</w:t>
      </w:r>
    </w:p>
    <w:p>
      <w:pPr>
        <w:spacing w:after="0" w:line="225" w:lineRule="exact"/>
        <w:rPr>
          <w:sz w:val="20"/>
          <w:szCs w:val="20"/>
          <w:color w:val="auto"/>
        </w:rPr>
      </w:pPr>
    </w:p>
    <w:p>
      <w:pPr>
        <w:ind w:left="1380" w:hanging="481"/>
        <w:spacing w:after="0" w:line="277" w:lineRule="auto"/>
        <w:tabs>
          <w:tab w:leader="none" w:pos="1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 the annual audited financial statements prior to the publication of earnings.</w:t>
      </w:r>
    </w:p>
    <w:p>
      <w:pPr>
        <w:spacing w:after="0" w:line="170" w:lineRule="exact"/>
        <w:rPr>
          <w:rFonts w:ascii="Arial" w:cs="Arial" w:eastAsia="Arial" w:hAnsi="Arial"/>
          <w:sz w:val="18"/>
          <w:szCs w:val="18"/>
          <w:color w:val="auto"/>
        </w:rPr>
      </w:pPr>
    </w:p>
    <w:p>
      <w:pPr>
        <w:jc w:val="both"/>
        <w:ind w:left="1380" w:hanging="481"/>
        <w:spacing w:after="0" w:line="263" w:lineRule="auto"/>
        <w:tabs>
          <w:tab w:leader="none" w:pos="1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 and discuss with Management the Corporation's annual and quarterly disclosures made in Management's Discussion and Analysis. The Committee shall approve any reports for inclusion in the Corporation's Annual Report, as required by applicable legislation.</w:t>
      </w:r>
    </w:p>
    <w:p>
      <w:pPr>
        <w:spacing w:after="0" w:line="183" w:lineRule="exact"/>
        <w:rPr>
          <w:rFonts w:ascii="Arial" w:cs="Arial" w:eastAsia="Arial" w:hAnsi="Arial"/>
          <w:sz w:val="18"/>
          <w:szCs w:val="18"/>
          <w:color w:val="auto"/>
        </w:rPr>
      </w:pPr>
    </w:p>
    <w:p>
      <w:pPr>
        <w:ind w:left="1380" w:hanging="481"/>
        <w:spacing w:after="0" w:line="277" w:lineRule="auto"/>
        <w:tabs>
          <w:tab w:leader="none" w:pos="1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 management's report on its assessment of internal controls over financial reporting and the independent auditor's attestation report on management's assessment.</w:t>
      </w:r>
    </w:p>
    <w:p>
      <w:pPr>
        <w:spacing w:after="0" w:line="170" w:lineRule="exact"/>
        <w:rPr>
          <w:rFonts w:ascii="Arial" w:cs="Arial" w:eastAsia="Arial" w:hAnsi="Arial"/>
          <w:sz w:val="18"/>
          <w:szCs w:val="18"/>
          <w:color w:val="auto"/>
        </w:rPr>
      </w:pPr>
    </w:p>
    <w:p>
      <w:pPr>
        <w:ind w:left="1380" w:hanging="481"/>
        <w:spacing w:after="0"/>
        <w:tabs>
          <w:tab w:leader="none" w:pos="1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 and discuss with Management the Corporation's quarterly financial statements prior to the publication of earnings.</w:t>
      </w:r>
    </w:p>
    <w:p>
      <w:pPr>
        <w:spacing w:after="0" w:line="225" w:lineRule="exact"/>
        <w:rPr>
          <w:rFonts w:ascii="Arial" w:cs="Arial" w:eastAsia="Arial" w:hAnsi="Arial"/>
          <w:sz w:val="18"/>
          <w:szCs w:val="18"/>
          <w:color w:val="auto"/>
        </w:rPr>
      </w:pPr>
    </w:p>
    <w:p>
      <w:pPr>
        <w:jc w:val="both"/>
        <w:ind w:left="1380" w:right="20" w:hanging="481"/>
        <w:spacing w:after="0" w:line="259" w:lineRule="auto"/>
        <w:tabs>
          <w:tab w:leader="none" w:pos="1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 at least annually significant financial reporting issues and judgments made in connection with the preparation of the Corporation's financial statements, including any significant changes in the Corporation's selection or application of accounting principles, any major issues as to the adequacy of the Corporation's internal controls and any special steps adopted in light of material control deficiencies.</w:t>
      </w:r>
    </w:p>
    <w:p>
      <w:pPr>
        <w:spacing w:after="0" w:line="186" w:lineRule="exact"/>
        <w:rPr>
          <w:rFonts w:ascii="Arial" w:cs="Arial" w:eastAsia="Arial" w:hAnsi="Arial"/>
          <w:sz w:val="18"/>
          <w:szCs w:val="18"/>
          <w:color w:val="auto"/>
        </w:rPr>
      </w:pPr>
    </w:p>
    <w:p>
      <w:pPr>
        <w:jc w:val="both"/>
        <w:ind w:left="1380" w:hanging="481"/>
        <w:spacing w:after="0" w:line="273" w:lineRule="auto"/>
        <w:tabs>
          <w:tab w:leader="none" w:pos="1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Review and discuss with Management and the independent auditor at least annually reports from the independent auditors on: critical accounting policies and practices to be used; significant financial reporting issues, estimates and judgments made in connection with the preparation of the financial statements; alternative treatments of financial information within generally accepted accounting principles that have been discussed with Management, ramifications of the use of such alternative disclosures and treatments, and the treatment preferred by the independent auditor; and other material written communications between the independent auditor and Management, such as any management letter or schedule of unadjusted differences.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ind w:left="1380" w:hanging="481"/>
        <w:spacing w:after="0" w:line="277" w:lineRule="auto"/>
        <w:tabs>
          <w:tab w:leader="none" w:pos="1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Discuss with the independent auditor at least annually any “Management” or “internal control” letters issued or proposed to be issued by the independent auditor to the Corporation.</w:t>
      </w:r>
    </w:p>
    <w:p>
      <w:pPr>
        <w:spacing w:after="0" w:line="170" w:lineRule="exact"/>
        <w:rPr>
          <w:rFonts w:ascii="Arial" w:cs="Arial" w:eastAsia="Arial" w:hAnsi="Arial"/>
          <w:sz w:val="18"/>
          <w:szCs w:val="18"/>
          <w:color w:val="auto"/>
        </w:rPr>
      </w:pPr>
    </w:p>
    <w:p>
      <w:pPr>
        <w:ind w:left="1380" w:hanging="481"/>
        <w:spacing w:after="0" w:line="308" w:lineRule="auto"/>
        <w:tabs>
          <w:tab w:leader="none" w:pos="1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Review and discuss with Management and the independent auditor at least annually any significant changes to the Corporation's accounting principles and practices suggested by the independent auditor, internal audit personnel or Management.</w:t>
      </w:r>
    </w:p>
    <w:p>
      <w:pPr>
        <w:spacing w:after="0" w:line="146" w:lineRule="exact"/>
        <w:rPr>
          <w:rFonts w:ascii="Arial" w:cs="Arial" w:eastAsia="Arial" w:hAnsi="Arial"/>
          <w:sz w:val="17"/>
          <w:szCs w:val="17"/>
          <w:color w:val="auto"/>
        </w:rPr>
      </w:pPr>
    </w:p>
    <w:p>
      <w:pPr>
        <w:ind w:left="1380" w:hanging="481"/>
        <w:spacing w:after="0" w:line="277" w:lineRule="auto"/>
        <w:tabs>
          <w:tab w:leader="none" w:pos="1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Discuss with Management the Corporation's earnings press releases, including the use of “</w:t>
      </w:r>
      <w:r>
        <w:rPr>
          <w:rFonts w:ascii="Arial" w:cs="Arial" w:eastAsia="Arial" w:hAnsi="Arial"/>
          <w:sz w:val="18"/>
          <w:szCs w:val="18"/>
          <w:i w:val="1"/>
          <w:iCs w:val="1"/>
          <w:color w:val="auto"/>
        </w:rPr>
        <w:t>pro forma</w:t>
      </w:r>
      <w:r>
        <w:rPr>
          <w:rFonts w:ascii="Arial" w:cs="Arial" w:eastAsia="Arial" w:hAnsi="Arial"/>
          <w:sz w:val="18"/>
          <w:szCs w:val="18"/>
          <w:color w:val="auto"/>
        </w:rPr>
        <w:t>” or “adjusted” non-GAAP information, as well as financial information and earnings guidance (if any) provided to analysts and rating agencies.</w:t>
      </w:r>
    </w:p>
    <w:p>
      <w:pPr>
        <w:spacing w:after="0" w:line="170" w:lineRule="exact"/>
        <w:rPr>
          <w:rFonts w:ascii="Arial" w:cs="Arial" w:eastAsia="Arial" w:hAnsi="Arial"/>
          <w:sz w:val="18"/>
          <w:szCs w:val="18"/>
          <w:color w:val="auto"/>
        </w:rPr>
      </w:pPr>
    </w:p>
    <w:p>
      <w:pPr>
        <w:ind w:left="1380" w:hanging="481"/>
        <w:spacing w:after="0" w:line="277" w:lineRule="auto"/>
        <w:tabs>
          <w:tab w:leader="none" w:pos="1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 at least annually the effect of regulatory and accounting initiatives as well as off-balance sheet structures on the Corporation's financial statements.</w:t>
      </w:r>
    </w:p>
    <w:p>
      <w:pPr>
        <w:spacing w:after="0" w:line="170" w:lineRule="exact"/>
        <w:rPr>
          <w:rFonts w:ascii="Arial" w:cs="Arial" w:eastAsia="Arial" w:hAnsi="Arial"/>
          <w:sz w:val="18"/>
          <w:szCs w:val="18"/>
          <w:color w:val="auto"/>
        </w:rPr>
      </w:pPr>
    </w:p>
    <w:p>
      <w:pPr>
        <w:jc w:val="both"/>
        <w:ind w:left="1380" w:hanging="481"/>
        <w:spacing w:after="0" w:line="342" w:lineRule="auto"/>
        <w:tabs>
          <w:tab w:leader="none" w:pos="13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Review and discuss with the Chief Executive Officer and the Chief Financial Officer the procedures undertaken in connection with the Chief Executive Officer and Chief Financial Officer certifications for the annual filings with applicable securities regulatory authorities.</w:t>
      </w:r>
    </w:p>
    <w:p>
      <w:pPr>
        <w:spacing w:after="0" w:line="123" w:lineRule="exact"/>
        <w:rPr>
          <w:rFonts w:ascii="Arial" w:cs="Arial" w:eastAsia="Arial" w:hAnsi="Arial"/>
          <w:sz w:val="16"/>
          <w:szCs w:val="16"/>
          <w:color w:val="auto"/>
        </w:rPr>
      </w:pPr>
    </w:p>
    <w:p>
      <w:pPr>
        <w:jc w:val="both"/>
        <w:ind w:left="1380" w:hanging="481"/>
        <w:spacing w:after="0" w:line="257" w:lineRule="auto"/>
        <w:tabs>
          <w:tab w:leader="none" w:pos="1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 disclosures made by the Corporation's Chief Executive Officer and Chief Financial Officer during their certification process for the annual filing with applicable securities regulatory authorities about any significant deficiencies in the design or operation of internal controls which could adversely affect the Corporation's ability to record, process, summarize and report financial data or any material weaknesses in the internal controls, and any fraud involving Management or other employees who have a significant role in the Corporation's internal controls.</w:t>
      </w:r>
    </w:p>
    <w:p>
      <w:pPr>
        <w:spacing w:after="0" w:line="188" w:lineRule="exact"/>
        <w:rPr>
          <w:sz w:val="20"/>
          <w:szCs w:val="20"/>
          <w:color w:val="auto"/>
        </w:rPr>
      </w:pPr>
    </w:p>
    <w:p>
      <w:pPr>
        <w:jc w:val="both"/>
        <w:ind w:left="1400" w:hanging="488"/>
        <w:spacing w:after="0" w:line="263" w:lineRule="auto"/>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Discuss with the Corporation's General Counsel at least annually any legal matters that may have a material impact on the financial statements, operations, assets or compliance policies and any material reports or inquiries received by the Corporation or any of its subsidiaries from regulators or governmental agencies.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4.3 Oversight of Risk Management</w:t>
      </w:r>
    </w:p>
    <w:p>
      <w:pPr>
        <w:spacing w:after="0" w:line="225" w:lineRule="exact"/>
        <w:rPr>
          <w:sz w:val="20"/>
          <w:szCs w:val="20"/>
          <w:color w:val="auto"/>
        </w:rPr>
      </w:pPr>
    </w:p>
    <w:p>
      <w:pPr>
        <w:ind w:left="1380" w:hanging="481"/>
        <w:spacing w:after="0"/>
        <w:tabs>
          <w:tab w:leader="none" w:pos="1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 and approve periodically Management's risk philosophy and risk management policies.</w:t>
      </w:r>
    </w:p>
    <w:p>
      <w:pPr>
        <w:spacing w:after="0" w:line="225" w:lineRule="exact"/>
        <w:rPr>
          <w:rFonts w:ascii="Arial" w:cs="Arial" w:eastAsia="Arial" w:hAnsi="Arial"/>
          <w:sz w:val="18"/>
          <w:szCs w:val="18"/>
          <w:color w:val="auto"/>
        </w:rPr>
      </w:pPr>
    </w:p>
    <w:p>
      <w:pPr>
        <w:ind w:left="1380" w:hanging="481"/>
        <w:spacing w:after="0"/>
        <w:tabs>
          <w:tab w:leader="none" w:pos="1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 with Management at least annually reports demonstrating compliance with risk management policies.</w:t>
      </w:r>
    </w:p>
    <w:p>
      <w:pPr>
        <w:spacing w:after="0" w:line="225" w:lineRule="exact"/>
        <w:rPr>
          <w:rFonts w:ascii="Arial" w:cs="Arial" w:eastAsia="Arial" w:hAnsi="Arial"/>
          <w:sz w:val="18"/>
          <w:szCs w:val="18"/>
          <w:color w:val="auto"/>
        </w:rPr>
      </w:pPr>
    </w:p>
    <w:p>
      <w:pPr>
        <w:ind w:left="1380" w:hanging="481"/>
        <w:spacing w:after="0"/>
        <w:tabs>
          <w:tab w:leader="none" w:pos="1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 with Management the quality and competence of Management appointed to administer risk management policies.</w:t>
      </w:r>
    </w:p>
    <w:p>
      <w:pPr>
        <w:spacing w:after="0" w:line="225" w:lineRule="exact"/>
        <w:rPr>
          <w:rFonts w:ascii="Arial" w:cs="Arial" w:eastAsia="Arial" w:hAnsi="Arial"/>
          <w:sz w:val="18"/>
          <w:szCs w:val="18"/>
          <w:color w:val="auto"/>
        </w:rPr>
      </w:pPr>
    </w:p>
    <w:p>
      <w:pPr>
        <w:ind w:left="1380" w:right="20" w:hanging="481"/>
        <w:spacing w:after="0" w:line="277" w:lineRule="auto"/>
        <w:tabs>
          <w:tab w:leader="none" w:pos="1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 reports from the independent auditor at least annually relating to the adequacy of the Corporation's risk management practices together with Management's responses.</w:t>
      </w:r>
    </w:p>
    <w:p>
      <w:pPr>
        <w:spacing w:after="0" w:line="170" w:lineRule="exact"/>
        <w:rPr>
          <w:rFonts w:ascii="Arial" w:cs="Arial" w:eastAsia="Arial" w:hAnsi="Arial"/>
          <w:sz w:val="18"/>
          <w:szCs w:val="18"/>
          <w:color w:val="auto"/>
        </w:rPr>
      </w:pPr>
    </w:p>
    <w:p>
      <w:pPr>
        <w:ind w:left="1400" w:hanging="488"/>
        <w:spacing w:after="0" w:line="277" w:lineRule="auto"/>
        <w:tabs>
          <w:tab w:leader="none" w:pos="14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Discuss with Management at least annually the Corporation's major financial risk exposures and steps Management has taken to monitor and control exposures including the Corporation’s risk assessment and risk management policies.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4.4 Oversight of Regulatory Compliance</w:t>
      </w:r>
    </w:p>
    <w:p>
      <w:pPr>
        <w:spacing w:after="0" w:line="225" w:lineRule="exact"/>
        <w:rPr>
          <w:sz w:val="20"/>
          <w:szCs w:val="20"/>
          <w:color w:val="auto"/>
        </w:rPr>
      </w:pPr>
    </w:p>
    <w:p>
      <w:pPr>
        <w:jc w:val="both"/>
        <w:ind w:left="1380" w:right="100" w:hanging="481"/>
        <w:spacing w:after="0" w:line="263" w:lineRule="auto"/>
        <w:tabs>
          <w:tab w:leader="none" w:pos="1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 procedures for the receipt, retention and treatment of complaints received by the Corporation regarding accounting, internal accounting controls or auditing matters, and the confidential, anonymous submission by employees of concerns regarding questionable accounting or auditing matters.</w:t>
      </w:r>
    </w:p>
    <w:p>
      <w:pPr>
        <w:spacing w:after="0" w:line="183" w:lineRule="exact"/>
        <w:rPr>
          <w:rFonts w:ascii="Arial" w:cs="Arial" w:eastAsia="Arial" w:hAnsi="Arial"/>
          <w:sz w:val="18"/>
          <w:szCs w:val="18"/>
          <w:color w:val="auto"/>
        </w:rPr>
      </w:pPr>
    </w:p>
    <w:p>
      <w:pPr>
        <w:ind w:left="1380" w:right="100" w:hanging="481"/>
        <w:spacing w:after="0" w:line="308" w:lineRule="auto"/>
        <w:tabs>
          <w:tab w:leader="none" w:pos="13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Discuss with Management and the independent auditor at least annually any correspondence with regulators or governmental agencies and any published reports which raise material issues regarding the Corporation's financial statements or accounting.</w:t>
      </w:r>
    </w:p>
    <w:p>
      <w:pPr>
        <w:spacing w:after="0" w:line="146" w:lineRule="exact"/>
        <w:rPr>
          <w:rFonts w:ascii="Arial" w:cs="Arial" w:eastAsia="Arial" w:hAnsi="Arial"/>
          <w:sz w:val="17"/>
          <w:szCs w:val="17"/>
          <w:color w:val="auto"/>
        </w:rPr>
      </w:pPr>
    </w:p>
    <w:p>
      <w:pPr>
        <w:ind w:left="1380" w:hanging="481"/>
        <w:spacing w:after="0"/>
        <w:tabs>
          <w:tab w:leader="none" w:pos="1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Meet with the Corporation's regulators, according to applicable law.</w:t>
      </w:r>
    </w:p>
    <w:p>
      <w:pPr>
        <w:spacing w:after="0" w:line="225" w:lineRule="exact"/>
        <w:rPr>
          <w:rFonts w:ascii="Arial" w:cs="Arial" w:eastAsia="Arial" w:hAnsi="Arial"/>
          <w:sz w:val="18"/>
          <w:szCs w:val="18"/>
          <w:color w:val="auto"/>
        </w:rPr>
      </w:pPr>
    </w:p>
    <w:p>
      <w:pPr>
        <w:ind w:left="1400" w:hanging="488"/>
        <w:spacing w:after="0" w:line="277" w:lineRule="auto"/>
        <w:tabs>
          <w:tab w:leader="none" w:pos="14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Exercise such other powers and perform such other duties and responsibilities as are incidental to the purposes, duties and responsibilities specified herein and as may from time to time be delegated to the Committee by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 Funding for the Independent Auditor and Retention of Other Independent Advisors</w:t>
      </w:r>
    </w:p>
    <w:p>
      <w:pPr>
        <w:spacing w:after="0" w:line="229" w:lineRule="exact"/>
        <w:rPr>
          <w:sz w:val="20"/>
          <w:szCs w:val="20"/>
          <w:color w:val="auto"/>
        </w:rPr>
      </w:pPr>
    </w:p>
    <w:p>
      <w:pPr>
        <w:jc w:val="both"/>
        <w:ind w:firstLine="647"/>
        <w:spacing w:after="0" w:line="301" w:lineRule="auto"/>
        <w:rPr>
          <w:sz w:val="20"/>
          <w:szCs w:val="20"/>
          <w:color w:val="auto"/>
        </w:rPr>
      </w:pPr>
      <w:r>
        <w:rPr>
          <w:rFonts w:ascii="Arial" w:cs="Arial" w:eastAsia="Arial" w:hAnsi="Arial"/>
          <w:sz w:val="16"/>
          <w:szCs w:val="16"/>
          <w:color w:val="auto"/>
        </w:rPr>
        <w:t>The Corporation shall provide for appropriate funding, as determined by the Committee, for payment of compensation to the independent auditor for the purpose of issuing an audit report and to any advisors retained by the Committee. The Committee shall also have the authority to retain and, at Bitfarms Canada’s expense, to set and pay the compensation for such other independent counsel and other advisors as it may from time to time deem necessary or advisable for its purposes. The Committee also has the authority to communicate directly with internal and external auditors.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 Procedures for Receipt of Complaints and Submissions Relating to Accounting Matters</w:t>
      </w:r>
    </w:p>
    <w:p>
      <w:pPr>
        <w:spacing w:after="0" w:line="229" w:lineRule="exact"/>
        <w:rPr>
          <w:sz w:val="20"/>
          <w:szCs w:val="20"/>
          <w:color w:val="auto"/>
        </w:rPr>
      </w:pPr>
    </w:p>
    <w:p>
      <w:pPr>
        <w:ind w:left="1400" w:hanging="488"/>
        <w:spacing w:after="0" w:line="277" w:lineRule="auto"/>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Corporation shall establish a Whistleblower Policy to allow for the submission anonymously and otherwise, accounting related complaints which shall be reviewed annually by the Audit Committee.</w:t>
      </w:r>
    </w:p>
    <w:p>
      <w:pPr>
        <w:spacing w:after="0" w:line="170" w:lineRule="exact"/>
        <w:rPr>
          <w:rFonts w:ascii="Arial" w:cs="Arial" w:eastAsia="Arial" w:hAnsi="Arial"/>
          <w:sz w:val="18"/>
          <w:szCs w:val="18"/>
          <w:color w:val="auto"/>
        </w:rPr>
      </w:pPr>
    </w:p>
    <w:p>
      <w:pPr>
        <w:jc w:val="both"/>
        <w:ind w:left="1400" w:hanging="488"/>
        <w:spacing w:after="0" w:line="263" w:lineRule="auto"/>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Committee will ensure the Whistleblower Policy provides review procedures for: (a) the receipt, retention and treatment of complaints received by the listed issuer regarding accounting, internal accounting controls, or auditing matters; and (b) The confidential, anonymous submission by employees of concerns regarding questionable accounting or auditing matters.</w:t>
      </w:r>
    </w:p>
    <w:p>
      <w:pPr>
        <w:spacing w:after="0" w:line="183" w:lineRule="exact"/>
        <w:rPr>
          <w:rFonts w:ascii="Arial" w:cs="Arial" w:eastAsia="Arial" w:hAnsi="Arial"/>
          <w:sz w:val="18"/>
          <w:szCs w:val="18"/>
          <w:color w:val="auto"/>
        </w:rPr>
      </w:pPr>
    </w:p>
    <w:p>
      <w:pPr>
        <w:ind w:left="1400" w:right="20" w:hanging="488"/>
        <w:spacing w:after="0" w:line="277" w:lineRule="auto"/>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Upon receipt of a report from through the Whistleblower reporting mechanism, the Committee shall discuss the report and take such steps as the Committee may deem appropriate.</w:t>
      </w:r>
    </w:p>
    <w:p>
      <w:pPr>
        <w:spacing w:after="0" w:line="197" w:lineRule="exact"/>
        <w:rPr>
          <w:rFonts w:ascii="Arial" w:cs="Arial" w:eastAsia="Arial" w:hAnsi="Arial"/>
          <w:sz w:val="18"/>
          <w:szCs w:val="18"/>
          <w:color w:val="auto"/>
        </w:rPr>
      </w:pPr>
    </w:p>
    <w:p>
      <w:pPr>
        <w:ind w:left="1400" w:hanging="488"/>
        <w:spacing w:after="0" w:line="277" w:lineRule="auto"/>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Committee will inform the Board of Directors of the filed complaints or concerns at regularly scheduled meetings (unless they are unfounded or unless the materiality of the complaint requires earlier action).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7.0 Procedures for Approval of Non-Audit Services</w:t>
      </w:r>
    </w:p>
    <w:p>
      <w:pPr>
        <w:spacing w:after="0" w:line="229"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Corporation’s external auditors shall be prohibited from performing for the Corporation the following categories of non-audit services:</w:t>
      </w:r>
    </w:p>
    <w:p>
      <w:pPr>
        <w:spacing w:after="0" w:line="225" w:lineRule="exact"/>
        <w:rPr>
          <w:rFonts w:ascii="Arial" w:cs="Arial" w:eastAsia="Arial" w:hAnsi="Arial"/>
          <w:sz w:val="18"/>
          <w:szCs w:val="18"/>
          <w:color w:val="auto"/>
        </w:rPr>
      </w:pPr>
    </w:p>
    <w:p>
      <w:pPr>
        <w:ind w:left="1400" w:hanging="488"/>
        <w:spacing w:after="0"/>
        <w:tabs>
          <w:tab w:leader="none" w:pos="14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bookkeeping or other services related to the Corporation’s accounting records or financial statements;</w:t>
      </w:r>
    </w:p>
    <w:p>
      <w:pPr>
        <w:spacing w:after="0" w:line="225" w:lineRule="exact"/>
        <w:rPr>
          <w:rFonts w:ascii="Arial" w:cs="Arial" w:eastAsia="Arial" w:hAnsi="Arial"/>
          <w:sz w:val="18"/>
          <w:szCs w:val="18"/>
          <w:color w:val="auto"/>
        </w:rPr>
      </w:pPr>
    </w:p>
    <w:p>
      <w:pPr>
        <w:ind w:left="1400" w:hanging="488"/>
        <w:spacing w:after="0"/>
        <w:tabs>
          <w:tab w:leader="none" w:pos="14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financial information systems design and implementation;</w:t>
      </w:r>
    </w:p>
    <w:p>
      <w:pPr>
        <w:spacing w:after="0" w:line="225" w:lineRule="exact"/>
        <w:rPr>
          <w:rFonts w:ascii="Arial" w:cs="Arial" w:eastAsia="Arial" w:hAnsi="Arial"/>
          <w:sz w:val="18"/>
          <w:szCs w:val="18"/>
          <w:color w:val="auto"/>
        </w:rPr>
      </w:pPr>
    </w:p>
    <w:p>
      <w:pPr>
        <w:ind w:left="1400" w:hanging="488"/>
        <w:spacing w:after="0"/>
        <w:tabs>
          <w:tab w:leader="none" w:pos="14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appraisal or valuation services, fairness opinion or contributions-in-kind reports;</w:t>
      </w:r>
    </w:p>
    <w:p>
      <w:pPr>
        <w:spacing w:after="0" w:line="225" w:lineRule="exact"/>
        <w:rPr>
          <w:rFonts w:ascii="Arial" w:cs="Arial" w:eastAsia="Arial" w:hAnsi="Arial"/>
          <w:sz w:val="18"/>
          <w:szCs w:val="18"/>
          <w:color w:val="auto"/>
        </w:rPr>
      </w:pPr>
    </w:p>
    <w:p>
      <w:pPr>
        <w:ind w:left="1400" w:hanging="488"/>
        <w:spacing w:after="0"/>
        <w:tabs>
          <w:tab w:leader="none" w:pos="14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actuarial services;</w:t>
      </w:r>
    </w:p>
    <w:p>
      <w:pPr>
        <w:spacing w:after="0" w:line="225" w:lineRule="exact"/>
        <w:rPr>
          <w:rFonts w:ascii="Arial" w:cs="Arial" w:eastAsia="Arial" w:hAnsi="Arial"/>
          <w:sz w:val="18"/>
          <w:szCs w:val="18"/>
          <w:color w:val="auto"/>
        </w:rPr>
      </w:pPr>
    </w:p>
    <w:p>
      <w:pPr>
        <w:ind w:left="1400" w:hanging="488"/>
        <w:spacing w:after="0"/>
        <w:tabs>
          <w:tab w:leader="none" w:pos="14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internal audit outsourcing services;</w:t>
      </w:r>
    </w:p>
    <w:p>
      <w:pPr>
        <w:spacing w:after="0" w:line="225" w:lineRule="exact"/>
        <w:rPr>
          <w:rFonts w:ascii="Arial" w:cs="Arial" w:eastAsia="Arial" w:hAnsi="Arial"/>
          <w:sz w:val="18"/>
          <w:szCs w:val="18"/>
          <w:color w:val="auto"/>
        </w:rPr>
      </w:pPr>
    </w:p>
    <w:p>
      <w:pPr>
        <w:ind w:left="1400" w:hanging="488"/>
        <w:spacing w:after="0"/>
        <w:tabs>
          <w:tab w:leader="none" w:pos="14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management functions;</w:t>
      </w:r>
    </w:p>
    <w:p>
      <w:pPr>
        <w:spacing w:after="0" w:line="225" w:lineRule="exact"/>
        <w:rPr>
          <w:rFonts w:ascii="Arial" w:cs="Arial" w:eastAsia="Arial" w:hAnsi="Arial"/>
          <w:sz w:val="18"/>
          <w:szCs w:val="18"/>
          <w:color w:val="auto"/>
        </w:rPr>
      </w:pPr>
    </w:p>
    <w:p>
      <w:pPr>
        <w:ind w:left="1400" w:hanging="488"/>
        <w:spacing w:after="0"/>
        <w:tabs>
          <w:tab w:leader="none" w:pos="14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human resources;</w:t>
      </w:r>
    </w:p>
    <w:p>
      <w:pPr>
        <w:spacing w:after="0" w:line="225" w:lineRule="exact"/>
        <w:rPr>
          <w:rFonts w:ascii="Arial" w:cs="Arial" w:eastAsia="Arial" w:hAnsi="Arial"/>
          <w:sz w:val="18"/>
          <w:szCs w:val="18"/>
          <w:color w:val="auto"/>
        </w:rPr>
      </w:pPr>
    </w:p>
    <w:p>
      <w:pPr>
        <w:ind w:left="1400" w:hanging="488"/>
        <w:spacing w:after="0"/>
        <w:tabs>
          <w:tab w:leader="none" w:pos="14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broker or dealer, investment adviser or investment banking services;</w:t>
      </w:r>
    </w:p>
    <w:p>
      <w:pPr>
        <w:spacing w:after="0" w:line="225" w:lineRule="exact"/>
        <w:rPr>
          <w:rFonts w:ascii="Arial" w:cs="Arial" w:eastAsia="Arial" w:hAnsi="Arial"/>
          <w:sz w:val="18"/>
          <w:szCs w:val="18"/>
          <w:color w:val="auto"/>
        </w:rPr>
      </w:pPr>
    </w:p>
    <w:p>
      <w:pPr>
        <w:ind w:left="1400" w:hanging="488"/>
        <w:spacing w:after="0"/>
        <w:tabs>
          <w:tab w:leader="none" w:pos="14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legal services;</w:t>
      </w:r>
    </w:p>
    <w:p>
      <w:pPr>
        <w:spacing w:after="0" w:line="225" w:lineRule="exact"/>
        <w:rPr>
          <w:rFonts w:ascii="Arial" w:cs="Arial" w:eastAsia="Arial" w:hAnsi="Arial"/>
          <w:sz w:val="18"/>
          <w:szCs w:val="18"/>
          <w:color w:val="auto"/>
        </w:rPr>
      </w:pPr>
    </w:p>
    <w:p>
      <w:pPr>
        <w:ind w:left="1400" w:hanging="488"/>
        <w:spacing w:after="0"/>
        <w:tabs>
          <w:tab w:leader="none" w:pos="14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expert services unrelated to the audit; and</w:t>
      </w:r>
    </w:p>
    <w:p>
      <w:pPr>
        <w:spacing w:after="0" w:line="225" w:lineRule="exact"/>
        <w:rPr>
          <w:rFonts w:ascii="Arial" w:cs="Arial" w:eastAsia="Arial" w:hAnsi="Arial"/>
          <w:sz w:val="18"/>
          <w:szCs w:val="18"/>
          <w:color w:val="auto"/>
        </w:rPr>
      </w:pPr>
    </w:p>
    <w:p>
      <w:pPr>
        <w:ind w:left="1400" w:hanging="488"/>
        <w:spacing w:after="0"/>
        <w:tabs>
          <w:tab w:leader="none" w:pos="14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other service that the Canadian Public Accountability Board determines is impermissible.</w:t>
      </w:r>
    </w:p>
    <w:p>
      <w:pPr>
        <w:spacing w:after="0" w:line="225" w:lineRule="exact"/>
        <w:rPr>
          <w:rFonts w:ascii="Arial" w:cs="Arial" w:eastAsia="Arial" w:hAnsi="Arial"/>
          <w:sz w:val="18"/>
          <w:szCs w:val="18"/>
          <w:color w:val="auto"/>
        </w:rPr>
      </w:pPr>
    </w:p>
    <w:p>
      <w:pPr>
        <w:jc w:val="both"/>
        <w:ind w:left="340" w:hanging="332"/>
        <w:spacing w:after="0" w:line="311"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the event that the Corporation wishes to retain the services of the Corporation’s external auditors for tax compliance, tax advice or tax planning, the Chief Financial Officer of the Corporation shall consult with the Chair of the Committee, who shall have the authority to approve or disapprove on behalf of the Committee, such non-audit services. All other non-audit services shall be approved or disapproved by the Committee as a whole.</w:t>
      </w:r>
    </w:p>
    <w:p>
      <w:pPr>
        <w:spacing w:after="0" w:line="148"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Chief Financial Officer of the Corporation shall maintain a record of non-audit services approved by the Chair of the Committee or the Committee for each fiscal year and provide a report to the Committee no less frequently than on a quarterly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8.0 Reporting</w:t>
      </w:r>
    </w:p>
    <w:p>
      <w:pPr>
        <w:spacing w:after="0" w:line="229"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The Chair will report to the Board at each Board meeting on the Committee’s activities since the last Board meeting. The Committee will annually review and approve the Committee’s report for inclusion in the Annual Information Form. The Secretary will circulate the minutes of each meeting of the Committee to the members of the Board.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9.0 Access to Information and Authority</w:t>
      </w:r>
    </w:p>
    <w:p>
      <w:pPr>
        <w:spacing w:after="0" w:line="229" w:lineRule="exact"/>
        <w:rPr>
          <w:sz w:val="20"/>
          <w:szCs w:val="20"/>
          <w:color w:val="auto"/>
        </w:rPr>
      </w:pPr>
    </w:p>
    <w:p>
      <w:pPr>
        <w:ind w:firstLine="647"/>
        <w:spacing w:after="0" w:line="277" w:lineRule="auto"/>
        <w:rPr>
          <w:sz w:val="20"/>
          <w:szCs w:val="20"/>
          <w:color w:val="auto"/>
        </w:rPr>
      </w:pPr>
      <w:r>
        <w:rPr>
          <w:rFonts w:ascii="Arial" w:cs="Arial" w:eastAsia="Arial" w:hAnsi="Arial"/>
          <w:sz w:val="18"/>
          <w:szCs w:val="18"/>
          <w:color w:val="auto"/>
        </w:rPr>
        <w:t>The Committee will be granted unrestricted access to all information regarding Bitfarms Canada that is necessary or desirable to fulfill its duties and all directors, officers and employees will be directed to cooperate as requested by Members</w:t>
      </w:r>
      <w:r>
        <w:rPr>
          <w:rFonts w:ascii="Arial" w:cs="Arial" w:eastAsia="Arial" w:hAnsi="Arial"/>
          <w:sz w:val="18"/>
          <w:szCs w:val="18"/>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10.0 Review of Charter</w:t>
      </w:r>
    </w:p>
    <w:p>
      <w:pPr>
        <w:spacing w:after="0" w:line="229" w:lineRule="exact"/>
        <w:rPr>
          <w:sz w:val="20"/>
          <w:szCs w:val="20"/>
          <w:color w:val="auto"/>
        </w:rPr>
      </w:pPr>
    </w:p>
    <w:p>
      <w:pPr>
        <w:ind w:right="20" w:firstLine="647"/>
        <w:spacing w:after="0" w:line="277" w:lineRule="auto"/>
        <w:rPr>
          <w:sz w:val="20"/>
          <w:szCs w:val="20"/>
          <w:color w:val="auto"/>
        </w:rPr>
      </w:pPr>
      <w:r>
        <w:rPr>
          <w:rFonts w:ascii="Arial" w:cs="Arial" w:eastAsia="Arial" w:hAnsi="Arial"/>
          <w:sz w:val="18"/>
          <w:szCs w:val="18"/>
          <w:color w:val="auto"/>
        </w:rPr>
        <w:t>The Committee will annually review and assess the adequacy of this Charter and recommend any proposed changes to the Board for consideration.</w:t>
      </w:r>
    </w:p>
    <w:p>
      <w:pPr>
        <w:sectPr>
          <w:pgSz w:w="11900" w:h="16838" w:orient="portrait"/>
          <w:cols w:equalWidth="0" w:num="1">
            <w:col w:w="11240"/>
          </w:cols>
          <w:pgMar w:left="320" w:top="904"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Approved by: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March 24, 2022</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w:t>
      </w:r>
    </w:p>
    <w:p>
      <w:pPr>
        <w:spacing w:after="0" w:line="200" w:lineRule="exact"/>
        <w:rPr>
          <w:sz w:val="20"/>
          <w:szCs w:val="20"/>
          <w:color w:val="auto"/>
        </w:rPr>
      </w:pPr>
    </w:p>
    <w:p>
      <w:pPr>
        <w:sectPr>
          <w:pgSz w:w="11900" w:h="16838" w:orient="portrait"/>
          <w:cols w:equalWidth="0" w:num="2">
            <w:col w:w="1000" w:space="360"/>
            <w:col w:w="9880"/>
          </w:cols>
          <w:pgMar w:left="320" w:top="904" w:right="339" w:bottom="1440" w:gutter="0" w:footer="0" w:header="0"/>
          <w:type w:val="continuous"/>
        </w:sect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154305</wp:posOffset>
            </wp:positionV>
            <wp:extent cx="2065655" cy="5397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6565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20" w:type="dxa"/>
            <w:vAlign w:val="bottom"/>
            <w:tcBorders>
              <w:bottom w:val="single" w:sz="8" w:color="CCEEFF"/>
            </w:tcBorders>
          </w:tcPr>
          <w:p>
            <w:pPr>
              <w:spacing w:after="0"/>
              <w:rPr>
                <w:sz w:val="22"/>
                <w:szCs w:val="22"/>
                <w:color w:val="auto"/>
              </w:rPr>
            </w:pPr>
          </w:p>
        </w:tc>
        <w:tc>
          <w:tcPr>
            <w:tcW w:w="26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340" w:type="dxa"/>
            <w:vAlign w:val="bottom"/>
            <w:tcBorders>
              <w:bottom w:val="single" w:sz="8" w:color="CCEEFF"/>
            </w:tcBorders>
          </w:tcPr>
          <w:p>
            <w:pPr>
              <w:spacing w:after="0"/>
              <w:rPr>
                <w:sz w:val="22"/>
                <w:szCs w:val="22"/>
                <w:color w:val="auto"/>
              </w:rPr>
            </w:pPr>
          </w:p>
        </w:tc>
        <w:tc>
          <w:tcPr>
            <w:tcW w:w="386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Page</w:t>
            </w:r>
          </w:p>
        </w:tc>
      </w:tr>
      <w:tr>
        <w:trPr>
          <w:trHeight w:val="156"/>
        </w:trPr>
        <w:tc>
          <w:tcPr>
            <w:tcW w:w="10240" w:type="dxa"/>
            <w:vAlign w:val="bottom"/>
            <w:gridSpan w:val="8"/>
            <w:shd w:val="clear" w:color="auto" w:fill="CCEEFF"/>
          </w:tcPr>
          <w:p>
            <w:pPr>
              <w:spacing w:after="0" w:line="136" w:lineRule="exact"/>
              <w:rPr>
                <w:rFonts w:ascii="Arial" w:cs="Arial" w:eastAsia="Arial" w:hAnsi="Arial"/>
                <w:sz w:val="15"/>
                <w:szCs w:val="15"/>
                <w:b w:val="1"/>
                <w:bCs w:val="1"/>
                <w:color w:val="0000EE"/>
              </w:rPr>
            </w:pPr>
            <w:hyperlink w:anchor="page75">
              <w:r>
                <w:rPr>
                  <w:rFonts w:ascii="Arial" w:cs="Arial" w:eastAsia="Arial" w:hAnsi="Arial"/>
                  <w:sz w:val="15"/>
                  <w:szCs w:val="15"/>
                  <w:b w:val="1"/>
                  <w:bCs w:val="1"/>
                  <w:color w:val="0000EE"/>
                </w:rPr>
                <w:t>Report of Independent Registered Public Accounting Firm – Annual Consolidated Financial Statements (PCAOB identification</w:t>
              </w:r>
            </w:hyperlink>
          </w:p>
        </w:tc>
        <w:tc>
          <w:tcPr>
            <w:tcW w:w="100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b w:val="1"/>
                <w:bCs w:val="1"/>
                <w:color w:val="auto"/>
                <w:w w:val="89"/>
              </w:rPr>
              <w:t>2</w:t>
            </w:r>
          </w:p>
        </w:tc>
      </w:tr>
      <w:tr>
        <w:trPr>
          <w:trHeight w:val="216"/>
        </w:trPr>
        <w:tc>
          <w:tcPr>
            <w:tcW w:w="304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#271)</w:t>
              </w:r>
            </w:hyperlink>
          </w:p>
        </w:tc>
        <w:tc>
          <w:tcPr>
            <w:tcW w:w="30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340" w:type="dxa"/>
            <w:vAlign w:val="bottom"/>
            <w:tcBorders>
              <w:top w:val="single" w:sz="8" w:color="0000EE"/>
            </w:tcBorders>
            <w:shd w:val="clear" w:color="auto" w:fill="CCEEFF"/>
          </w:tcPr>
          <w:p>
            <w:pPr>
              <w:spacing w:after="0"/>
              <w:rPr>
                <w:sz w:val="18"/>
                <w:szCs w:val="18"/>
                <w:color w:val="auto"/>
              </w:rPr>
            </w:pPr>
          </w:p>
        </w:tc>
        <w:tc>
          <w:tcPr>
            <w:tcW w:w="3860" w:type="dxa"/>
            <w:vAlign w:val="bottom"/>
            <w:tcBorders>
              <w:top w:val="single" w:sz="8" w:color="0000EE"/>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r>
      <w:tr>
        <w:trPr>
          <w:trHeight w:val="216"/>
        </w:trPr>
        <w:tc>
          <w:tcPr>
            <w:tcW w:w="420" w:type="dxa"/>
            <w:vAlign w:val="bottom"/>
            <w:tcBorders>
              <w:top w:val="single" w:sz="8" w:color="0000EE"/>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38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Consolidated Statements of Financial Position</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79"/>
              </w:rPr>
              <w:t>3</w:t>
            </w:r>
          </w:p>
        </w:tc>
      </w:tr>
      <w:tr>
        <w:trPr>
          <w:trHeight w:val="216"/>
        </w:trPr>
        <w:tc>
          <w:tcPr>
            <w:tcW w:w="420" w:type="dxa"/>
            <w:vAlign w:val="bottom"/>
            <w:tcBorders>
              <w:top w:val="single" w:sz="8" w:color="0000EE"/>
            </w:tcBorders>
          </w:tcPr>
          <w:p>
            <w:pPr>
              <w:spacing w:after="0"/>
              <w:rPr>
                <w:sz w:val="18"/>
                <w:szCs w:val="18"/>
                <w:color w:val="auto"/>
              </w:rPr>
            </w:pPr>
          </w:p>
        </w:tc>
        <w:tc>
          <w:tcPr>
            <w:tcW w:w="2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38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Consolidated Statements of Profit or Loss And Comprehensive Profit or Loss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79"/>
              </w:rPr>
              <w:t>4</w:t>
            </w:r>
          </w:p>
        </w:tc>
      </w:tr>
      <w:tr>
        <w:trPr>
          <w:trHeight w:val="216"/>
        </w:trPr>
        <w:tc>
          <w:tcPr>
            <w:tcW w:w="420" w:type="dxa"/>
            <w:vAlign w:val="bottom"/>
            <w:tcBorders>
              <w:top w:val="single" w:sz="8" w:color="0000EE"/>
            </w:tcBorders>
          </w:tcPr>
          <w:p>
            <w:pPr>
              <w:spacing w:after="0"/>
              <w:rPr>
                <w:sz w:val="18"/>
                <w:szCs w:val="18"/>
                <w:color w:val="auto"/>
              </w:rPr>
            </w:pPr>
          </w:p>
        </w:tc>
        <w:tc>
          <w:tcPr>
            <w:tcW w:w="2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38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Consolidated Statements of Changes in Equity</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79"/>
              </w:rPr>
              <w:t>5</w:t>
            </w:r>
          </w:p>
        </w:tc>
      </w:tr>
      <w:tr>
        <w:trPr>
          <w:trHeight w:val="216"/>
        </w:trPr>
        <w:tc>
          <w:tcPr>
            <w:tcW w:w="420" w:type="dxa"/>
            <w:vAlign w:val="bottom"/>
            <w:tcBorders>
              <w:top w:val="single" w:sz="8" w:color="0000EE"/>
            </w:tcBorders>
          </w:tcPr>
          <w:p>
            <w:pPr>
              <w:spacing w:after="0"/>
              <w:rPr>
                <w:sz w:val="18"/>
                <w:szCs w:val="18"/>
                <w:color w:val="auto"/>
              </w:rPr>
            </w:pPr>
          </w:p>
        </w:tc>
        <w:tc>
          <w:tcPr>
            <w:tcW w:w="2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38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Consolidated Statements of Cash Flows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79"/>
              </w:rPr>
              <w:t>6</w:t>
            </w:r>
          </w:p>
        </w:tc>
      </w:tr>
      <w:tr>
        <w:trPr>
          <w:trHeight w:val="216"/>
        </w:trPr>
        <w:tc>
          <w:tcPr>
            <w:tcW w:w="420" w:type="dxa"/>
            <w:vAlign w:val="bottom"/>
            <w:tcBorders>
              <w:top w:val="single" w:sz="8" w:color="0000EE"/>
            </w:tcBorders>
          </w:tcPr>
          <w:p>
            <w:pPr>
              <w:spacing w:after="0"/>
              <w:rPr>
                <w:sz w:val="18"/>
                <w:szCs w:val="18"/>
                <w:color w:val="auto"/>
              </w:rPr>
            </w:pPr>
          </w:p>
        </w:tc>
        <w:tc>
          <w:tcPr>
            <w:tcW w:w="26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38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6"/>
        </w:trPr>
        <w:tc>
          <w:tcPr>
            <w:tcW w:w="1024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Notes to Consolidated Financial Statements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8"/>
              </w:rPr>
              <w:t>7-45</w:t>
            </w:r>
          </w:p>
        </w:tc>
      </w:tr>
      <w:tr>
        <w:trPr>
          <w:trHeight w:val="20"/>
        </w:trPr>
        <w:tc>
          <w:tcPr>
            <w:tcW w:w="420" w:type="dxa"/>
            <w:vAlign w:val="bottom"/>
            <w:tcBorders>
              <w:top w:val="single" w:sz="8" w:color="0000EE"/>
            </w:tcBorders>
            <w:shd w:val="clear" w:color="auto" w:fill="CCEEFF"/>
          </w:tcPr>
          <w:p>
            <w:pPr>
              <w:spacing w:after="0" w:line="20" w:lineRule="exact"/>
              <w:rPr>
                <w:sz w:val="1"/>
                <w:szCs w:val="1"/>
                <w:color w:val="auto"/>
              </w:rPr>
            </w:pPr>
          </w:p>
        </w:tc>
        <w:tc>
          <w:tcPr>
            <w:tcW w:w="26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814070" cy="6083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814070" cy="60833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Bitfarms Ltd.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statements of financial position of Bitfarms Ltd. and its subsidiaries (together, the Company) as of December 31, 2021 and 2020, and the related consolidated statements of profit or loss and comprehensive profit or loss, changes in equity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2021 and 2020, and its financial performance and its cash flows for the years then ended in conformity with International Financial Reporting Standards as issued by the International Accounting Standards Board.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 LLP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 Licensed Public Accountants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Oakville, 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28,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PwC Centre, 354 Davis Road, Suite 600, Oakville, Ontario, Canada L6J 0C5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+1 905 815 6300, F: +1 905 815 6499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“PwC” refers to PricewaterhouseCoopers LLP, an Ontario limited liability partnership.</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ind w:left="9860"/>
        <w:spacing w:after="0"/>
        <w:rPr>
          <w:sz w:val="20"/>
          <w:szCs w:val="20"/>
          <w:color w:val="auto"/>
        </w:rPr>
      </w:pPr>
      <w:r>
        <w:rPr>
          <w:rFonts w:ascii="Arial" w:cs="Arial" w:eastAsia="Arial" w:hAnsi="Arial"/>
          <w:sz w:val="17"/>
          <w:szCs w:val="17"/>
          <w:b w:val="1"/>
          <w:bCs w:val="1"/>
          <w:color w:val="auto"/>
        </w:rPr>
        <w:t>BITFARMS LTD.</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7560" w:type="dxa"/>
            <w:vAlign w:val="bottom"/>
          </w:tcPr>
          <w:p>
            <w:pPr>
              <w:spacing w:after="0"/>
              <w:rPr>
                <w:sz w:val="20"/>
                <w:szCs w:val="20"/>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Note</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7560" w:type="dxa"/>
            <w:vAlign w:val="bottom"/>
          </w:tcPr>
          <w:p>
            <w:pPr>
              <w:spacing w:after="0" w:line="201" w:lineRule="exact"/>
              <w:rPr>
                <w:sz w:val="20"/>
                <w:szCs w:val="20"/>
                <w:color w:val="auto"/>
              </w:rPr>
            </w:pPr>
            <w:r>
              <w:rPr>
                <w:rFonts w:ascii="Arial" w:cs="Arial" w:eastAsia="Arial" w:hAnsi="Arial"/>
                <w:sz w:val="18"/>
                <w:szCs w:val="18"/>
                <w:color w:val="auto"/>
              </w:rPr>
              <w:t>ASSETS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CURRENT ASSETS: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125,595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5,947</w:t>
            </w:r>
          </w:p>
        </w:tc>
        <w:tc>
          <w:tcPr>
            <w:tcW w:w="80" w:type="dxa"/>
            <w:vAlign w:val="bottom"/>
            <w:shd w:val="clear" w:color="auto" w:fill="CCEEFF"/>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Trade receivables</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1,038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1,103</w:t>
            </w:r>
          </w:p>
        </w:tc>
        <w:tc>
          <w:tcPr>
            <w:tcW w:w="80" w:type="dxa"/>
            <w:vAlign w:val="bottom"/>
          </w:tcPr>
          <w:p>
            <w:pPr>
              <w:spacing w:after="0"/>
              <w:rPr>
                <w:sz w:val="18"/>
                <w:szCs w:val="18"/>
                <w:color w:val="auto"/>
              </w:rPr>
            </w:pP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669</w:t>
            </w:r>
          </w:p>
        </w:tc>
        <w:tc>
          <w:tcPr>
            <w:tcW w:w="80" w:type="dxa"/>
            <w:vAlign w:val="bottom"/>
            <w:shd w:val="clear" w:color="auto" w:fill="CCEEFF"/>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Digital assets</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66,031</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Digital assets - pledged as collateral</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8, 13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86,825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Embedded derivative</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1,449</w:t>
            </w:r>
          </w:p>
        </w:tc>
        <w:tc>
          <w:tcPr>
            <w:tcW w:w="80" w:type="dxa"/>
            <w:vAlign w:val="bottom"/>
          </w:tcPr>
          <w:p>
            <w:pPr>
              <w:spacing w:after="0"/>
              <w:rPr>
                <w:sz w:val="18"/>
                <w:szCs w:val="18"/>
                <w:color w:val="auto"/>
              </w:rPr>
            </w:pPr>
          </w:p>
        </w:tc>
      </w:tr>
      <w:tr>
        <w:trPr>
          <w:trHeight w:val="249"/>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held for sale</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9b</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1,211</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5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10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287,127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9,168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7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NON-CURRENT ASSETS: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136,850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35,793</w:t>
            </w:r>
          </w:p>
        </w:tc>
        <w:tc>
          <w:tcPr>
            <w:tcW w:w="80" w:type="dxa"/>
            <w:vAlign w:val="bottom"/>
            <w:shd w:val="clear" w:color="auto" w:fill="CCEEFF"/>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Right-of-use assets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9,397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5,393</w:t>
            </w:r>
          </w:p>
        </w:tc>
        <w:tc>
          <w:tcPr>
            <w:tcW w:w="80" w:type="dxa"/>
            <w:vAlign w:val="bottom"/>
          </w:tcPr>
          <w:p>
            <w:pPr>
              <w:spacing w:after="0"/>
              <w:rPr>
                <w:sz w:val="18"/>
                <w:szCs w:val="18"/>
                <w:color w:val="auto"/>
              </w:rPr>
            </w:pP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deposits, equipment prepayments and other</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86,681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973</w:t>
            </w:r>
          </w:p>
        </w:tc>
        <w:tc>
          <w:tcPr>
            <w:tcW w:w="80" w:type="dxa"/>
            <w:vAlign w:val="bottom"/>
            <w:shd w:val="clear" w:color="auto" w:fill="CCEEFF"/>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1,681</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18"/>
                <w:szCs w:val="18"/>
                <w:color w:val="auto"/>
              </w:rPr>
            </w:pP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16,955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756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16a</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3,896</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4"/>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542,587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51,704</w:t>
            </w:r>
          </w:p>
        </w:tc>
        <w:tc>
          <w:tcPr>
            <w:tcW w:w="80" w:type="dxa"/>
            <w:vAlign w:val="bottom"/>
            <w:shd w:val="clear" w:color="auto" w:fill="CCEEFF"/>
          </w:tcPr>
          <w:p>
            <w:pPr>
              <w:spacing w:after="0"/>
              <w:rPr>
                <w:sz w:val="22"/>
                <w:szCs w:val="22"/>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7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EQUITY</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payables and accrued liabilities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14,480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2,696</w:t>
            </w:r>
          </w:p>
        </w:tc>
        <w:tc>
          <w:tcPr>
            <w:tcW w:w="80" w:type="dxa"/>
            <w:vAlign w:val="bottom"/>
            <w:shd w:val="clear" w:color="auto" w:fill="CCEEFF"/>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10,257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17,171</w:t>
            </w:r>
          </w:p>
        </w:tc>
        <w:tc>
          <w:tcPr>
            <w:tcW w:w="80" w:type="dxa"/>
            <w:vAlign w:val="bottom"/>
          </w:tcPr>
          <w:p>
            <w:pPr>
              <w:spacing w:after="0"/>
              <w:rPr>
                <w:sz w:val="18"/>
                <w:szCs w:val="18"/>
                <w:color w:val="auto"/>
              </w:rPr>
            </w:pP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lease liabilities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3,626</w:t>
            </w:r>
          </w:p>
        </w:tc>
        <w:tc>
          <w:tcPr>
            <w:tcW w:w="80" w:type="dxa"/>
            <w:vAlign w:val="bottom"/>
            <w:shd w:val="clear" w:color="auto" w:fill="CCEEFF"/>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Credit facility</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60,002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 payable</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12,093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CEEFF"/>
          </w:tcPr>
          <w:p>
            <w:pPr>
              <w:spacing w:after="0"/>
              <w:rPr>
                <w:sz w:val="18"/>
                <w:szCs w:val="18"/>
                <w:color w:val="auto"/>
              </w:rPr>
            </w:pPr>
          </w:p>
        </w:tc>
      </w:tr>
      <w:tr>
        <w:trPr>
          <w:trHeight w:val="236"/>
        </w:trPr>
        <w:tc>
          <w:tcPr>
            <w:tcW w:w="756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4,668</w:t>
            </w:r>
          </w:p>
        </w:tc>
        <w:tc>
          <w:tcPr>
            <w:tcW w:w="80" w:type="dxa"/>
            <w:vAlign w:val="bottom"/>
          </w:tcPr>
          <w:p>
            <w:pPr>
              <w:spacing w:after="0"/>
              <w:rPr>
                <w:sz w:val="20"/>
                <w:szCs w:val="20"/>
                <w:color w:val="auto"/>
              </w:rPr>
            </w:pPr>
          </w:p>
        </w:tc>
      </w:tr>
      <w:tr>
        <w:trPr>
          <w:trHeight w:val="223"/>
        </w:trPr>
        <w:tc>
          <w:tcPr>
            <w:tcW w:w="7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910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9,227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7,397</w:t>
            </w:r>
          </w:p>
        </w:tc>
        <w:tc>
          <w:tcPr>
            <w:tcW w:w="80" w:type="dxa"/>
            <w:vAlign w:val="bottom"/>
            <w:shd w:val="clear" w:color="auto" w:fill="CCEEFF"/>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Asset retirement provision</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8"/>
                <w:szCs w:val="18"/>
                <w:color w:val="auto"/>
              </w:rPr>
            </w:pPr>
          </w:p>
        </w:tc>
      </w:tr>
      <w:tr>
        <w:trPr>
          <w:trHeight w:val="250"/>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liability</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16a</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8,451</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5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NON-CURRENT LIABILITIES</w:t>
            </w:r>
          </w:p>
        </w:tc>
        <w:tc>
          <w:tcPr>
            <w:tcW w:w="10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18,827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7,780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7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7560" w:type="dxa"/>
            <w:vAlign w:val="bottom"/>
          </w:tcPr>
          <w:p>
            <w:pPr>
              <w:spacing w:after="0"/>
              <w:rPr>
                <w:sz w:val="20"/>
                <w:szCs w:val="20"/>
                <w:color w:val="auto"/>
              </w:rPr>
            </w:pPr>
            <w:r>
              <w:rPr>
                <w:rFonts w:ascii="Arial" w:cs="Arial" w:eastAsia="Arial" w:hAnsi="Arial"/>
                <w:sz w:val="18"/>
                <w:szCs w:val="18"/>
                <w:color w:val="auto"/>
              </w:rPr>
              <w:t>TOTAL LIABILITIES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120,005</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36,257</w:t>
            </w:r>
          </w:p>
        </w:tc>
        <w:tc>
          <w:tcPr>
            <w:tcW w:w="80" w:type="dxa"/>
            <w:vAlign w:val="bottom"/>
          </w:tcPr>
          <w:p>
            <w:pPr>
              <w:spacing w:after="0"/>
              <w:rPr>
                <w:sz w:val="20"/>
                <w:szCs w:val="20"/>
                <w:color w:val="auto"/>
              </w:rPr>
            </w:pPr>
          </w:p>
        </w:tc>
      </w:tr>
      <w:tr>
        <w:trPr>
          <w:trHeight w:val="216"/>
        </w:trPr>
        <w:tc>
          <w:tcPr>
            <w:tcW w:w="75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EQUITY:</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capital</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378,893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32,004</w:t>
            </w:r>
          </w:p>
        </w:tc>
        <w:tc>
          <w:tcPr>
            <w:tcW w:w="80" w:type="dxa"/>
            <w:vAlign w:val="bottom"/>
            <w:shd w:val="clear" w:color="auto" w:fill="CCEEFF"/>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Arial" w:cs="Arial" w:eastAsia="Arial" w:hAnsi="Arial"/>
                <w:sz w:val="18"/>
                <w:szCs w:val="18"/>
                <w:color w:val="auto"/>
              </w:rPr>
              <w:t>Contributed surplus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43,704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5,588</w:t>
            </w:r>
          </w:p>
        </w:tc>
        <w:tc>
          <w:tcPr>
            <w:tcW w:w="80" w:type="dxa"/>
            <w:vAlign w:val="bottom"/>
          </w:tcPr>
          <w:p>
            <w:pPr>
              <w:spacing w:after="0"/>
              <w:rPr>
                <w:sz w:val="18"/>
                <w:szCs w:val="18"/>
                <w:color w:val="auto"/>
              </w:rPr>
            </w:pPr>
          </w:p>
        </w:tc>
      </w:tr>
      <w:tr>
        <w:trPr>
          <w:trHeight w:val="249"/>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(22,145)</w:t>
            </w:r>
          </w:p>
        </w:tc>
      </w:tr>
      <w:tr>
        <w:trPr>
          <w:trHeight w:val="210"/>
        </w:trPr>
        <w:tc>
          <w:tcPr>
            <w:tcW w:w="75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EQUITY</w:t>
            </w:r>
          </w:p>
        </w:tc>
        <w:tc>
          <w:tcPr>
            <w:tcW w:w="10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422,582</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15,447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7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4"/>
        </w:trPr>
        <w:tc>
          <w:tcPr>
            <w:tcW w:w="7560" w:type="dxa"/>
            <w:vAlign w:val="bottom"/>
          </w:tcPr>
          <w:p>
            <w:pPr>
              <w:spacing w:after="0"/>
              <w:rPr>
                <w:sz w:val="20"/>
                <w:szCs w:val="20"/>
                <w:color w:val="auto"/>
              </w:rPr>
            </w:pPr>
            <w:r>
              <w:rPr>
                <w:rFonts w:ascii="Arial" w:cs="Arial" w:eastAsia="Arial" w:hAnsi="Arial"/>
                <w:sz w:val="18"/>
                <w:szCs w:val="18"/>
                <w:color w:val="auto"/>
              </w:rPr>
              <w:t>TOTAL LIABILITIES &amp; EQUITY</w:t>
            </w:r>
          </w:p>
        </w:tc>
        <w:tc>
          <w:tcPr>
            <w:tcW w:w="1000" w:type="dxa"/>
            <w:vAlign w:val="bottom"/>
          </w:tcPr>
          <w:p>
            <w:pPr>
              <w:spacing w:after="0"/>
              <w:rPr>
                <w:sz w:val="22"/>
                <w:szCs w:val="22"/>
                <w:color w:val="auto"/>
              </w:rPr>
            </w:pP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542,587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51,704</w:t>
            </w:r>
          </w:p>
        </w:tc>
        <w:tc>
          <w:tcPr>
            <w:tcW w:w="80" w:type="dxa"/>
            <w:vAlign w:val="bottom"/>
          </w:tcPr>
          <w:p>
            <w:pPr>
              <w:spacing w:after="0"/>
              <w:rPr>
                <w:sz w:val="22"/>
                <w:szCs w:val="22"/>
                <w:color w:val="auto"/>
              </w:rPr>
            </w:pPr>
          </w:p>
        </w:tc>
      </w:tr>
      <w:tr>
        <w:trPr>
          <w:trHeight w:val="20"/>
        </w:trPr>
        <w:tc>
          <w:tcPr>
            <w:tcW w:w="7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960" w:type="dxa"/>
            <w:vAlign w:val="bottom"/>
            <w:gridSpan w:val="2"/>
          </w:tcPr>
          <w:p>
            <w:pPr>
              <w:ind w:left="840"/>
              <w:spacing w:after="0"/>
              <w:rPr>
                <w:sz w:val="20"/>
                <w:szCs w:val="20"/>
                <w:color w:val="auto"/>
              </w:rPr>
            </w:pPr>
            <w:r>
              <w:rPr>
                <w:rFonts w:ascii="Arial" w:cs="Arial" w:eastAsia="Arial" w:hAnsi="Arial"/>
                <w:sz w:val="18"/>
                <w:szCs w:val="18"/>
                <w:color w:val="auto"/>
              </w:rPr>
              <w:t>March 25, 2022</w:t>
            </w:r>
          </w:p>
        </w:tc>
        <w:tc>
          <w:tcPr>
            <w:tcW w:w="368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1"/>
              </w:rPr>
              <w:t>Nicolas Bonta</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2"/>
              </w:rPr>
              <w:t>Emiliano Grodzki</w:t>
            </w:r>
          </w:p>
        </w:tc>
        <w:tc>
          <w:tcPr>
            <w:tcW w:w="2240" w:type="dxa"/>
            <w:vAlign w:val="bottom"/>
          </w:tcPr>
          <w:p>
            <w:pPr>
              <w:jc w:val="center"/>
              <w:spacing w:after="0"/>
              <w:rPr>
                <w:sz w:val="20"/>
                <w:szCs w:val="20"/>
                <w:color w:val="auto"/>
              </w:rPr>
            </w:pPr>
            <w:r>
              <w:rPr>
                <w:rFonts w:ascii="Arial" w:cs="Arial" w:eastAsia="Arial" w:hAnsi="Arial"/>
                <w:sz w:val="18"/>
                <w:szCs w:val="18"/>
                <w:i w:val="1"/>
                <w:iCs w:val="1"/>
                <w:color w:val="auto"/>
                <w:w w:val="89"/>
              </w:rPr>
              <w:t>Jeffrey Lucas</w:t>
            </w:r>
          </w:p>
        </w:tc>
      </w:tr>
      <w:tr>
        <w:trPr>
          <w:trHeight w:val="198"/>
        </w:trPr>
        <w:tc>
          <w:tcPr>
            <w:tcW w:w="282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Date of approval of the financial</w:t>
            </w:r>
          </w:p>
        </w:tc>
        <w:tc>
          <w:tcPr>
            <w:tcW w:w="140" w:type="dxa"/>
            <w:vAlign w:val="bottom"/>
          </w:tcPr>
          <w:p>
            <w:pPr>
              <w:spacing w:after="0"/>
              <w:rPr>
                <w:sz w:val="17"/>
                <w:szCs w:val="17"/>
                <w:color w:val="auto"/>
              </w:rPr>
            </w:pPr>
          </w:p>
        </w:tc>
        <w:tc>
          <w:tcPr>
            <w:tcW w:w="35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Nicolas Bonta,</w:t>
            </w:r>
          </w:p>
        </w:tc>
        <w:tc>
          <w:tcPr>
            <w:tcW w:w="100" w:type="dxa"/>
            <w:vAlign w:val="bottom"/>
          </w:tcPr>
          <w:p>
            <w:pPr>
              <w:spacing w:after="0"/>
              <w:rPr>
                <w:sz w:val="17"/>
                <w:szCs w:val="17"/>
                <w:color w:val="auto"/>
              </w:rPr>
            </w:pPr>
          </w:p>
        </w:tc>
        <w:tc>
          <w:tcPr>
            <w:tcW w:w="22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3"/>
              </w:rPr>
              <w:t>Emiliano Grodzki,</w:t>
            </w:r>
          </w:p>
        </w:tc>
        <w:tc>
          <w:tcPr>
            <w:tcW w:w="100" w:type="dxa"/>
            <w:vAlign w:val="bottom"/>
          </w:tcPr>
          <w:p>
            <w:pPr>
              <w:spacing w:after="0"/>
              <w:rPr>
                <w:sz w:val="17"/>
                <w:szCs w:val="17"/>
                <w:color w:val="auto"/>
              </w:rPr>
            </w:pPr>
          </w:p>
        </w:tc>
        <w:tc>
          <w:tcPr>
            <w:tcW w:w="22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Jeffrey Lucas,</w:t>
            </w:r>
          </w:p>
        </w:tc>
      </w:tr>
      <w:tr>
        <w:trPr>
          <w:trHeight w:val="234"/>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statements</w:t>
            </w:r>
          </w:p>
        </w:tc>
        <w:tc>
          <w:tcPr>
            <w:tcW w:w="3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Chairman of the Board of Directors</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Chief Executive Officer</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2"/>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3257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43" w:right="339" w:bottom="1024" w:gutter="0" w:footer="0" w:header="0"/>
        </w:sectPr>
      </w:pPr>
    </w:p>
    <w:bookmarkStart w:id="76" w:name="page77"/>
    <w:bookmarkEnd w:id="76"/>
    <w:p>
      <w:pPr>
        <w:ind w:left="9860"/>
        <w:spacing w:after="0"/>
        <w:rPr>
          <w:sz w:val="20"/>
          <w:szCs w:val="20"/>
          <w:color w:val="auto"/>
        </w:rPr>
      </w:pPr>
      <w:r>
        <w:rPr>
          <w:rFonts w:ascii="Arial" w:cs="Arial" w:eastAsia="Arial" w:hAnsi="Arial"/>
          <w:sz w:val="17"/>
          <w:szCs w:val="17"/>
          <w:b w:val="1"/>
          <w:bCs w:val="1"/>
          <w:color w:val="auto"/>
        </w:rPr>
        <w:t>BITFARMS LTD.</w:t>
      </w:r>
    </w:p>
    <w:p>
      <w:pPr>
        <w:spacing w:after="0" w:line="250" w:lineRule="exact"/>
        <w:rPr>
          <w:sz w:val="20"/>
          <w:szCs w:val="20"/>
          <w:color w:val="auto"/>
        </w:rPr>
      </w:pPr>
    </w:p>
    <w:p>
      <w:pPr>
        <w:ind w:right="3020" w:firstLine="45"/>
        <w:spacing w:after="0" w:line="313" w:lineRule="auto"/>
        <w:rPr>
          <w:sz w:val="20"/>
          <w:szCs w:val="20"/>
          <w:color w:val="auto"/>
        </w:rPr>
      </w:pPr>
      <w:r>
        <w:rPr>
          <w:rFonts w:ascii="Arial" w:cs="Arial" w:eastAsia="Arial" w:hAnsi="Arial"/>
          <w:sz w:val="18"/>
          <w:szCs w:val="18"/>
          <w:b w:val="1"/>
          <w:bCs w:val="1"/>
          <w:color w:val="auto"/>
        </w:rPr>
        <w:t>CONSOLIDATED STATEMENTS OF PROFIT OR LOSS AND COMPREHENSIVE PROFIT OR LOSS (In thousands of U.S. dollars, except earnings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481"/>
              <w:spacing w:after="0"/>
              <w:rPr>
                <w:sz w:val="20"/>
                <w:szCs w:val="20"/>
                <w:color w:val="auto"/>
              </w:rPr>
            </w:pPr>
            <w:r>
              <w:rPr>
                <w:rFonts w:ascii="Arial" w:cs="Arial" w:eastAsia="Arial" w:hAnsi="Arial"/>
                <w:sz w:val="18"/>
                <w:szCs w:val="18"/>
                <w:b w:val="1"/>
                <w:bCs w:val="1"/>
                <w:color w:val="auto"/>
              </w:rPr>
              <w:t>For the years ended</w:t>
            </w:r>
          </w:p>
        </w:tc>
      </w:tr>
      <w:tr>
        <w:trPr>
          <w:trHeight w:val="198"/>
        </w:trPr>
        <w:tc>
          <w:tcPr>
            <w:tcW w:w="7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December 31,</w:t>
            </w:r>
          </w:p>
        </w:tc>
        <w:tc>
          <w:tcPr>
            <w:tcW w:w="112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7"/>
                <w:szCs w:val="17"/>
                <w:color w:val="auto"/>
              </w:rPr>
            </w:pPr>
          </w:p>
        </w:tc>
      </w:tr>
      <w:tr>
        <w:trPr>
          <w:trHeight w:val="241"/>
        </w:trPr>
        <w:tc>
          <w:tcPr>
            <w:tcW w:w="7560" w:type="dxa"/>
            <w:vAlign w:val="bottom"/>
          </w:tcPr>
          <w:p>
            <w:pPr>
              <w:spacing w:after="0"/>
              <w:rPr>
                <w:sz w:val="20"/>
                <w:szCs w:val="20"/>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Note</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7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 26a</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169,491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34,703</w:t>
            </w:r>
          </w:p>
        </w:tc>
      </w:tr>
      <w:tr>
        <w:trPr>
          <w:trHeight w:val="237"/>
        </w:trPr>
        <w:tc>
          <w:tcPr>
            <w:tcW w:w="7560" w:type="dxa"/>
            <w:vAlign w:val="bottom"/>
          </w:tcPr>
          <w:p>
            <w:pPr>
              <w:spacing w:after="0"/>
              <w:rPr>
                <w:sz w:val="20"/>
                <w:szCs w:val="20"/>
                <w:color w:val="auto"/>
              </w:rPr>
            </w:pPr>
            <w:r>
              <w:rPr>
                <w:rFonts w:ascii="Arial" w:cs="Arial" w:eastAsia="Arial" w:hAnsi="Arial"/>
                <w:sz w:val="18"/>
                <w:szCs w:val="18"/>
                <w:color w:val="auto"/>
              </w:rPr>
              <w:t>Cost of sales</w:t>
            </w: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25a</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58,371</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31,830</w:t>
            </w:r>
          </w:p>
        </w:tc>
      </w:tr>
      <w:tr>
        <w:trPr>
          <w:trHeight w:val="223"/>
        </w:trPr>
        <w:tc>
          <w:tcPr>
            <w:tcW w:w="7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25b</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43,238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8,250</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Loss (gain) on disposition of digital assets</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Loss on revaluation of digital assets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Loss (gain) on disposition of property, plant and equipment</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(848)</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1,442</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Impairment on property, plant and equipment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7"/>
        </w:trPr>
        <w:tc>
          <w:tcPr>
            <w:tcW w:w="7560" w:type="dxa"/>
            <w:vAlign w:val="bottom"/>
          </w:tcPr>
          <w:p>
            <w:pPr>
              <w:spacing w:after="0"/>
              <w:rPr>
                <w:sz w:val="20"/>
                <w:szCs w:val="20"/>
                <w:color w:val="auto"/>
              </w:rPr>
            </w:pPr>
            <w:r>
              <w:rPr>
                <w:rFonts w:ascii="Arial" w:cs="Arial" w:eastAsia="Arial" w:hAnsi="Arial"/>
                <w:sz w:val="18"/>
                <w:szCs w:val="18"/>
                <w:color w:val="auto"/>
              </w:rPr>
              <w:t>Impairment reversal on property, plant and equipment</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9b</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(1,860)</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financial expenses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25c</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21,003</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9,386</w:t>
            </w:r>
          </w:p>
        </w:tc>
      </w:tr>
      <w:tr>
        <w:trPr>
          <w:trHeight w:val="210"/>
        </w:trPr>
        <w:tc>
          <w:tcPr>
            <w:tcW w:w="75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income (loss) before income taxes</w:t>
            </w:r>
          </w:p>
        </w:tc>
        <w:tc>
          <w:tcPr>
            <w:tcW w:w="10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42,637</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(16,117</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560" w:type="dxa"/>
            <w:vAlign w:val="bottom"/>
          </w:tcPr>
          <w:p>
            <w:pPr>
              <w:spacing w:after="0"/>
              <w:rPr>
                <w:sz w:val="20"/>
                <w:szCs w:val="20"/>
                <w:color w:val="auto"/>
              </w:rPr>
            </w:pPr>
            <w:r>
              <w:rPr>
                <w:rFonts w:ascii="Arial" w:cs="Arial" w:eastAsia="Arial" w:hAnsi="Arial"/>
                <w:sz w:val="18"/>
                <w:szCs w:val="18"/>
                <w:color w:val="auto"/>
              </w:rPr>
              <w:t>Income tax expense</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16b</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20,507</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172</w:t>
            </w:r>
          </w:p>
        </w:tc>
      </w:tr>
      <w:tr>
        <w:trPr>
          <w:trHeight w:val="216"/>
        </w:trPr>
        <w:tc>
          <w:tcPr>
            <w:tcW w:w="75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7560" w:type="dxa"/>
            <w:vAlign w:val="bottom"/>
          </w:tcPr>
          <w:p>
            <w:pPr>
              <w:spacing w:after="0"/>
              <w:rPr>
                <w:sz w:val="20"/>
                <w:szCs w:val="20"/>
                <w:color w:val="auto"/>
              </w:rPr>
            </w:pPr>
            <w:r>
              <w:rPr>
                <w:rFonts w:ascii="Arial" w:cs="Arial" w:eastAsia="Arial" w:hAnsi="Arial"/>
                <w:sz w:val="18"/>
                <w:szCs w:val="18"/>
                <w:color w:val="auto"/>
              </w:rPr>
              <w:t>Net income (loss) and total comprehensive income (loss)</w:t>
            </w:r>
          </w:p>
        </w:tc>
        <w:tc>
          <w:tcPr>
            <w:tcW w:w="1000" w:type="dxa"/>
            <w:vAlign w:val="bottom"/>
          </w:tcPr>
          <w:p>
            <w:pPr>
              <w:spacing w:after="0"/>
              <w:rPr>
                <w:sz w:val="24"/>
                <w:szCs w:val="24"/>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22,130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256" w:lineRule="exact"/>
              <w:rPr>
                <w:sz w:val="20"/>
                <w:szCs w:val="20"/>
                <w:color w:val="auto"/>
              </w:rPr>
            </w:pPr>
            <w:r>
              <w:rPr>
                <w:rFonts w:ascii="Arial" w:cs="Arial" w:eastAsia="Arial" w:hAnsi="Arial"/>
                <w:sz w:val="16"/>
                <w:szCs w:val="16"/>
                <w:color w:val="auto"/>
              </w:rPr>
              <w:t>(16,289</w:t>
            </w:r>
            <w:r>
              <w:rPr>
                <w:rFonts w:ascii="Arial" w:cs="Arial" w:eastAsia="Arial" w:hAnsi="Arial"/>
                <w:sz w:val="29"/>
                <w:szCs w:val="29"/>
                <w:color w:val="auto"/>
                <w:vertAlign w:val="superscript"/>
              </w:rPr>
              <w:t>)</w:t>
            </w:r>
          </w:p>
        </w:tc>
      </w:tr>
      <w:tr>
        <w:trPr>
          <w:trHeight w:val="216"/>
        </w:trPr>
        <w:tc>
          <w:tcPr>
            <w:tcW w:w="75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Net income (loss) per share (in U.S. dollars):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56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1000" w:type="dxa"/>
            <w:vAlign w:val="bottom"/>
          </w:tcPr>
          <w:p>
            <w:pPr>
              <w:spacing w:after="0"/>
              <w:rPr>
                <w:sz w:val="20"/>
                <w:szCs w:val="20"/>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(0.19)</w:t>
            </w:r>
          </w:p>
        </w:tc>
      </w:tr>
      <w:tr>
        <w:trPr>
          <w:trHeight w:val="216"/>
        </w:trPr>
        <w:tc>
          <w:tcPr>
            <w:tcW w:w="75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560" w:type="dxa"/>
            <w:vAlign w:val="bottom"/>
          </w:tcPr>
          <w:p>
            <w:pPr>
              <w:spacing w:after="0"/>
              <w:rPr>
                <w:sz w:val="20"/>
                <w:szCs w:val="20"/>
                <w:color w:val="auto"/>
              </w:rPr>
            </w:pPr>
            <w:r>
              <w:rPr>
                <w:rFonts w:ascii="Arial" w:cs="Arial" w:eastAsia="Arial" w:hAnsi="Arial"/>
                <w:sz w:val="18"/>
                <w:szCs w:val="18"/>
                <w:color w:val="auto"/>
              </w:rPr>
              <w:t>Basic weighted average number of shares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157,651,571</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w w:val="99"/>
              </w:rPr>
              <w:t>84,915,250</w:t>
            </w:r>
          </w:p>
        </w:tc>
      </w:tr>
      <w:tr>
        <w:trPr>
          <w:trHeight w:val="216"/>
        </w:trPr>
        <w:tc>
          <w:tcPr>
            <w:tcW w:w="75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756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1000" w:type="dxa"/>
            <w:vAlign w:val="bottom"/>
          </w:tcPr>
          <w:p>
            <w:pPr>
              <w:spacing w:after="0"/>
              <w:rPr>
                <w:sz w:val="20"/>
                <w:szCs w:val="20"/>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(0.19)</w:t>
            </w:r>
          </w:p>
        </w:tc>
      </w:tr>
      <w:tr>
        <w:trPr>
          <w:trHeight w:val="216"/>
        </w:trPr>
        <w:tc>
          <w:tcPr>
            <w:tcW w:w="75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7560" w:type="dxa"/>
            <w:vAlign w:val="bottom"/>
          </w:tcPr>
          <w:p>
            <w:pPr>
              <w:spacing w:after="0"/>
              <w:rPr>
                <w:sz w:val="20"/>
                <w:szCs w:val="20"/>
                <w:color w:val="auto"/>
              </w:rPr>
            </w:pPr>
            <w:r>
              <w:rPr>
                <w:rFonts w:ascii="Arial" w:cs="Arial" w:eastAsia="Arial" w:hAnsi="Arial"/>
                <w:sz w:val="18"/>
                <w:szCs w:val="18"/>
                <w:color w:val="auto"/>
                <w:w w:val="94"/>
              </w:rPr>
              <w:t>Diluted weighted average number of shares for the purpose of calculating diluted earnings per share</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169,392,265</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w w:val="99"/>
              </w:rPr>
              <w:t>84,915,250</w:t>
            </w:r>
          </w:p>
        </w:tc>
      </w:tr>
      <w:tr>
        <w:trPr>
          <w:trHeight w:val="432"/>
        </w:trPr>
        <w:tc>
          <w:tcPr>
            <w:tcW w:w="7560" w:type="dxa"/>
            <w:vAlign w:val="bottom"/>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925"/>
        </w:trPr>
        <w:tc>
          <w:tcPr>
            <w:tcW w:w="7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1165860" cy="3086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77" w:name="page78"/>
    <w:bookmarkEnd w:id="77"/>
    <w:p>
      <w:pPr>
        <w:ind w:left="9860"/>
        <w:spacing w:after="0"/>
        <w:rPr>
          <w:sz w:val="20"/>
          <w:szCs w:val="20"/>
          <w:color w:val="auto"/>
        </w:rPr>
      </w:pPr>
      <w:r>
        <w:rPr>
          <w:rFonts w:ascii="Arial" w:cs="Arial" w:eastAsia="Arial" w:hAnsi="Arial"/>
          <w:sz w:val="17"/>
          <w:szCs w:val="17"/>
          <w:b w:val="1"/>
          <w:bCs w:val="1"/>
          <w:color w:val="auto"/>
        </w:rPr>
        <w:t>BITFARMS LTD.</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except for quantity of shares)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Quantity of</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8"/>
              </w:rPr>
              <w:t>Contributed</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Accumulated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46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4"/>
              </w:rPr>
              <w:t>Share capital</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surplus</w:t>
            </w:r>
          </w:p>
        </w:tc>
        <w:tc>
          <w:tcPr>
            <w:tcW w:w="20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20"/>
                <w:szCs w:val="20"/>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9"/>
              </w:rPr>
              <w:t>Total equity</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88,939,359</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 and total comprehensive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22,130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22,130</w:t>
            </w:r>
          </w:p>
        </w:tc>
        <w:tc>
          <w:tcPr>
            <w:tcW w:w="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Share-based payment (Note 24)</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22,585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22,585</w:t>
            </w:r>
          </w:p>
        </w:tc>
        <w:tc>
          <w:tcPr>
            <w:tcW w:w="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and warrants (Note 18)</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64,526,328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229,712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30,228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259,940</w:t>
            </w:r>
          </w:p>
        </w:tc>
        <w:tc>
          <w:tcPr>
            <w:tcW w:w="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Conversion of long-term debt (Note 14)</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8,474,577</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5,110</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Deferred tax recovery related to equity issuance costs (Note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16)</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4,287</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4,287</w:t>
            </w:r>
          </w:p>
        </w:tc>
        <w:tc>
          <w:tcPr>
            <w:tcW w:w="80" w:type="dxa"/>
            <w:vAlign w:val="bottom"/>
            <w:shd w:val="clear" w:color="auto" w:fill="CCEEFF"/>
          </w:tcPr>
          <w:p>
            <w:pPr>
              <w:spacing w:after="0"/>
              <w:rPr>
                <w:sz w:val="20"/>
                <w:szCs w:val="20"/>
                <w:color w:val="auto"/>
              </w:rPr>
            </w:pPr>
          </w:p>
        </w:tc>
      </w:tr>
      <w:tr>
        <w:trPr>
          <w:trHeight w:val="237"/>
        </w:trPr>
        <w:tc>
          <w:tcPr>
            <w:tcW w:w="4620" w:type="dxa"/>
            <w:vAlign w:val="bottom"/>
          </w:tcPr>
          <w:p>
            <w:pPr>
              <w:spacing w:after="0"/>
              <w:rPr>
                <w:sz w:val="20"/>
                <w:szCs w:val="20"/>
                <w:color w:val="auto"/>
              </w:rPr>
            </w:pPr>
            <w:r>
              <w:rPr>
                <w:rFonts w:ascii="Arial" w:cs="Arial" w:eastAsia="Arial" w:hAnsi="Arial"/>
                <w:sz w:val="18"/>
                <w:szCs w:val="18"/>
                <w:color w:val="auto"/>
              </w:rPr>
              <w:t>Exercise of warrants and stock options (Note 18)</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32,865,629</w:t>
            </w:r>
          </w:p>
        </w:tc>
        <w:tc>
          <w:tcPr>
            <w:tcW w:w="3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107,780</w:t>
            </w: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(14,587)</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93,193</w:t>
            </w:r>
          </w:p>
        </w:tc>
        <w:tc>
          <w:tcPr>
            <w:tcW w:w="80" w:type="dxa"/>
            <w:vAlign w:val="bottom"/>
          </w:tcPr>
          <w:p>
            <w:pPr>
              <w:spacing w:after="0"/>
              <w:rPr>
                <w:sz w:val="20"/>
                <w:szCs w:val="20"/>
                <w:color w:val="auto"/>
              </w:rPr>
            </w:pPr>
          </w:p>
        </w:tc>
      </w:tr>
      <w:tr>
        <w:trPr>
          <w:trHeight w:val="216"/>
        </w:trPr>
        <w:tc>
          <w:tcPr>
            <w:tcW w:w="46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304"/>
        </w:trPr>
        <w:tc>
          <w:tcPr>
            <w:tcW w:w="4620" w:type="dxa"/>
            <w:vAlign w:val="bottom"/>
          </w:tcPr>
          <w:p>
            <w:pPr>
              <w:spacing w:after="0"/>
              <w:rPr>
                <w:sz w:val="20"/>
                <w:szCs w:val="20"/>
                <w:color w:val="auto"/>
              </w:rPr>
            </w:pPr>
            <w:r>
              <w:rPr>
                <w:rFonts w:ascii="Arial" w:cs="Arial" w:eastAsia="Arial" w:hAnsi="Arial"/>
                <w:sz w:val="18"/>
                <w:szCs w:val="18"/>
                <w:b w:val="1"/>
                <w:bCs w:val="1"/>
                <w:color w:val="auto"/>
              </w:rPr>
              <w:t>Balance as of December 31, 2021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194,805,893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378,893</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43,704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line="256" w:lineRule="exact"/>
              <w:rPr>
                <w:sz w:val="20"/>
                <w:szCs w:val="20"/>
                <w:color w:val="auto"/>
              </w:rPr>
            </w:pPr>
            <w:r>
              <w:rPr>
                <w:rFonts w:ascii="Arial" w:cs="Arial" w:eastAsia="Arial" w:hAnsi="Arial"/>
                <w:sz w:val="16"/>
                <w:szCs w:val="16"/>
                <w:color w:val="auto"/>
              </w:rPr>
              <w:t>(15</w:t>
            </w:r>
            <w:r>
              <w:rPr>
                <w:rFonts w:ascii="Arial" w:cs="Arial" w:eastAsia="Arial" w:hAnsi="Arial"/>
                <w:sz w:val="29"/>
                <w:szCs w:val="29"/>
                <w:color w:val="auto"/>
                <w:vertAlign w:val="superscript"/>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422,582</w:t>
            </w:r>
          </w:p>
        </w:tc>
        <w:tc>
          <w:tcPr>
            <w:tcW w:w="80" w:type="dxa"/>
            <w:vAlign w:val="bottom"/>
          </w:tcPr>
          <w:p>
            <w:pPr>
              <w:spacing w:after="0"/>
              <w:rPr>
                <w:sz w:val="24"/>
                <w:szCs w:val="24"/>
                <w:color w:val="auto"/>
              </w:rPr>
            </w:pPr>
          </w:p>
        </w:tc>
      </w:tr>
      <w:tr>
        <w:trPr>
          <w:trHeight w:val="216"/>
        </w:trPr>
        <w:tc>
          <w:tcPr>
            <w:tcW w:w="46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Balance as of January 1, 2020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83,620,630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30,475</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3,469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(5,856)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28,088</w:t>
            </w:r>
          </w:p>
        </w:tc>
        <w:tc>
          <w:tcPr>
            <w:tcW w:w="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 and total comprehensive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(16,289)</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(16,289)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Share-based payment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600,000</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2,201</w:t>
            </w:r>
          </w:p>
        </w:tc>
        <w:tc>
          <w:tcPr>
            <w:tcW w:w="80" w:type="dxa"/>
            <w:vAlign w:val="bottom"/>
          </w:tcPr>
          <w:p>
            <w:pPr>
              <w:spacing w:after="0"/>
              <w:rPr>
                <w:sz w:val="18"/>
                <w:szCs w:val="18"/>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common shares, warrants and modification of</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1,004,350</w:t>
            </w: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20"/>
                <w:szCs w:val="20"/>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Long-term debt conversion feature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Reclassification of warrants from equity to liability and share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in partial settlement of warrant liability</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500,000</w:t>
            </w: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(791)</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(791)</w:t>
            </w:r>
          </w:p>
        </w:tc>
      </w:tr>
      <w:tr>
        <w:trPr>
          <w:trHeight w:val="237"/>
        </w:trPr>
        <w:tc>
          <w:tcPr>
            <w:tcW w:w="4620" w:type="dxa"/>
            <w:vAlign w:val="bottom"/>
          </w:tcPr>
          <w:p>
            <w:pPr>
              <w:spacing w:after="0"/>
              <w:rPr>
                <w:sz w:val="20"/>
                <w:szCs w:val="20"/>
                <w:color w:val="auto"/>
              </w:rPr>
            </w:pPr>
            <w:r>
              <w:rPr>
                <w:rFonts w:ascii="Arial" w:cs="Arial" w:eastAsia="Arial" w:hAnsi="Arial"/>
                <w:sz w:val="18"/>
                <w:szCs w:val="18"/>
                <w:color w:val="auto"/>
              </w:rPr>
              <w:t>Exercise of warrants and stock options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3,214,379</w:t>
            </w:r>
          </w:p>
        </w:tc>
        <w:tc>
          <w:tcPr>
            <w:tcW w:w="3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1,997</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1,997</w:t>
            </w:r>
          </w:p>
        </w:tc>
        <w:tc>
          <w:tcPr>
            <w:tcW w:w="80" w:type="dxa"/>
            <w:vAlign w:val="bottom"/>
          </w:tcPr>
          <w:p>
            <w:pPr>
              <w:spacing w:after="0"/>
              <w:rPr>
                <w:sz w:val="20"/>
                <w:szCs w:val="20"/>
                <w:color w:val="auto"/>
              </w:rPr>
            </w:pPr>
          </w:p>
        </w:tc>
      </w:tr>
      <w:tr>
        <w:trPr>
          <w:trHeight w:val="216"/>
        </w:trPr>
        <w:tc>
          <w:tcPr>
            <w:tcW w:w="46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4620" w:type="dxa"/>
            <w:vAlign w:val="bottom"/>
          </w:tcPr>
          <w:p>
            <w:pPr>
              <w:spacing w:after="0"/>
              <w:rPr>
                <w:sz w:val="20"/>
                <w:szCs w:val="20"/>
                <w:color w:val="auto"/>
              </w:rPr>
            </w:pPr>
            <w:r>
              <w:rPr>
                <w:rFonts w:ascii="Arial" w:cs="Arial" w:eastAsia="Arial" w:hAnsi="Arial"/>
                <w:sz w:val="18"/>
                <w:szCs w:val="18"/>
                <w:b w:val="1"/>
                <w:bCs w:val="1"/>
                <w:color w:val="auto"/>
              </w:rPr>
              <w:t>Balance as of December 31, 2020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88,939,359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32,004</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5,588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line="256" w:lineRule="exact"/>
              <w:rPr>
                <w:sz w:val="20"/>
                <w:szCs w:val="20"/>
                <w:color w:val="auto"/>
              </w:rPr>
            </w:pPr>
            <w:r>
              <w:rPr>
                <w:rFonts w:ascii="Arial" w:cs="Arial" w:eastAsia="Arial" w:hAnsi="Arial"/>
                <w:sz w:val="16"/>
                <w:szCs w:val="16"/>
                <w:color w:val="auto"/>
              </w:rPr>
              <w:t>(22,145</w:t>
            </w:r>
            <w:r>
              <w:rPr>
                <w:rFonts w:ascii="Arial" w:cs="Arial" w:eastAsia="Arial" w:hAnsi="Arial"/>
                <w:sz w:val="29"/>
                <w:szCs w:val="29"/>
                <w:color w:val="auto"/>
                <w:vertAlign w:val="superscript"/>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15,447</w:t>
            </w:r>
          </w:p>
        </w:tc>
        <w:tc>
          <w:tcPr>
            <w:tcW w:w="80" w:type="dxa"/>
            <w:vAlign w:val="bottom"/>
          </w:tcPr>
          <w:p>
            <w:pPr>
              <w:spacing w:after="0"/>
              <w:rPr>
                <w:sz w:val="22"/>
                <w:szCs w:val="22"/>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165860" cy="3086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78" w:name="page79"/>
    <w:bookmarkEnd w:id="78"/>
    <w:p>
      <w:pPr>
        <w:ind w:left="9860"/>
        <w:spacing w:after="0"/>
        <w:rPr>
          <w:sz w:val="20"/>
          <w:szCs w:val="20"/>
          <w:color w:val="auto"/>
        </w:rPr>
      </w:pPr>
      <w:r>
        <w:rPr>
          <w:rFonts w:ascii="Arial" w:cs="Arial" w:eastAsia="Arial" w:hAnsi="Arial"/>
          <w:sz w:val="17"/>
          <w:szCs w:val="17"/>
          <w:b w:val="1"/>
          <w:bCs w:val="1"/>
          <w:color w:val="auto"/>
        </w:rPr>
        <w:t>BITFARMS LTD.</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481"/>
              <w:spacing w:after="0"/>
              <w:rPr>
                <w:sz w:val="20"/>
                <w:szCs w:val="20"/>
                <w:color w:val="auto"/>
              </w:rPr>
            </w:pPr>
            <w:r>
              <w:rPr>
                <w:rFonts w:ascii="Arial" w:cs="Arial" w:eastAsia="Arial" w:hAnsi="Arial"/>
                <w:sz w:val="18"/>
                <w:szCs w:val="18"/>
                <w:b w:val="1"/>
                <w:bCs w:val="1"/>
                <w:color w:val="auto"/>
              </w:rPr>
              <w:t>For the years ended</w:t>
            </w:r>
          </w:p>
        </w:tc>
        <w:tc>
          <w:tcPr>
            <w:tcW w:w="0" w:type="dxa"/>
            <w:vAlign w:val="bottom"/>
          </w:tcPr>
          <w:p>
            <w:pPr>
              <w:spacing w:after="0"/>
              <w:rPr>
                <w:sz w:val="1"/>
                <w:szCs w:val="1"/>
                <w:color w:val="auto"/>
              </w:rPr>
            </w:pPr>
          </w:p>
        </w:tc>
      </w:tr>
      <w:tr>
        <w:trPr>
          <w:trHeight w:val="198"/>
        </w:trPr>
        <w:tc>
          <w:tcPr>
            <w:tcW w:w="2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December 31,</w:t>
            </w:r>
          </w:p>
        </w:tc>
        <w:tc>
          <w:tcPr>
            <w:tcW w:w="112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40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Note</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5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Cash flows from (used in) operating activities:</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color w:val="auto"/>
              </w:rPr>
              <w:t>Net income (loss)</w:t>
            </w:r>
          </w:p>
        </w:tc>
        <w:tc>
          <w:tcPr>
            <w:tcW w:w="40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gridSpan w:val="2"/>
          </w:tcPr>
          <w:p>
            <w:pPr>
              <w:ind w:left="1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gridSpan w:val="2"/>
          </w:tcPr>
          <w:p>
            <w:pPr>
              <w:jc w:val="right"/>
              <w:ind w:right="141"/>
              <w:spacing w:after="0"/>
              <w:rPr>
                <w:sz w:val="20"/>
                <w:szCs w:val="20"/>
                <w:color w:val="auto"/>
              </w:rPr>
            </w:pPr>
            <w:r>
              <w:rPr>
                <w:rFonts w:ascii="Arial" w:cs="Arial" w:eastAsia="Arial" w:hAnsi="Arial"/>
                <w:sz w:val="18"/>
                <w:szCs w:val="18"/>
                <w:color w:val="auto"/>
              </w:rPr>
              <w:t>22,130</w:t>
            </w:r>
          </w:p>
        </w:tc>
        <w:tc>
          <w:tcPr>
            <w:tcW w:w="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(16,289)</w:t>
            </w:r>
          </w:p>
        </w:tc>
        <w:tc>
          <w:tcPr>
            <w:tcW w:w="0" w:type="dxa"/>
            <w:vAlign w:val="bottom"/>
          </w:tcPr>
          <w:p>
            <w:pPr>
              <w:spacing w:after="0"/>
              <w:rPr>
                <w:sz w:val="1"/>
                <w:szCs w:val="1"/>
                <w:color w:val="auto"/>
              </w:rPr>
            </w:pPr>
          </w:p>
        </w:tc>
      </w:tr>
      <w:tr>
        <w:trPr>
          <w:trHeight w:val="216"/>
        </w:trPr>
        <w:tc>
          <w:tcPr>
            <w:tcW w:w="7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Adjustments for:</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4"/>
          </w:tcPr>
          <w:p>
            <w:pPr>
              <w:ind w:left="12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24,476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11,486</w:t>
            </w:r>
          </w:p>
        </w:tc>
        <w:tc>
          <w:tcPr>
            <w:tcW w:w="0" w:type="dxa"/>
            <w:vAlign w:val="bottom"/>
          </w:tcPr>
          <w:p>
            <w:pPr>
              <w:spacing w:after="0"/>
              <w:rPr>
                <w:sz w:val="1"/>
                <w:szCs w:val="1"/>
                <w:color w:val="auto"/>
              </w:rPr>
            </w:pPr>
          </w:p>
        </w:tc>
      </w:tr>
      <w:tr>
        <w:trPr>
          <w:trHeight w:val="216"/>
        </w:trPr>
        <w:tc>
          <w:tcPr>
            <w:tcW w:w="75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Impairment on property, plant and equipment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4"/>
          </w:tcPr>
          <w:p>
            <w:pPr>
              <w:ind w:left="120"/>
              <w:spacing w:after="0"/>
              <w:rPr>
                <w:sz w:val="20"/>
                <w:szCs w:val="20"/>
                <w:color w:val="auto"/>
              </w:rPr>
            </w:pPr>
            <w:r>
              <w:rPr>
                <w:rFonts w:ascii="Arial" w:cs="Arial" w:eastAsia="Arial" w:hAnsi="Arial"/>
                <w:sz w:val="18"/>
                <w:szCs w:val="18"/>
                <w:color w:val="auto"/>
              </w:rPr>
              <w:t>Impairment reversal on property, plant and equipment</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9b</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(1,860)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Net financial expenses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25c</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21,003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9,386</w:t>
            </w:r>
          </w:p>
        </w:tc>
        <w:tc>
          <w:tcPr>
            <w:tcW w:w="0" w:type="dxa"/>
            <w:vAlign w:val="bottom"/>
          </w:tcPr>
          <w:p>
            <w:pPr>
              <w:spacing w:after="0"/>
              <w:rPr>
                <w:sz w:val="1"/>
                <w:szCs w:val="1"/>
                <w:color w:val="auto"/>
              </w:rPr>
            </w:pPr>
          </w:p>
        </w:tc>
      </w:tr>
      <w:tr>
        <w:trPr>
          <w:trHeight w:val="216"/>
        </w:trPr>
        <w:tc>
          <w:tcPr>
            <w:tcW w:w="7560" w:type="dxa"/>
            <w:vAlign w:val="bottom"/>
            <w:gridSpan w:val="4"/>
          </w:tcPr>
          <w:p>
            <w:pPr>
              <w:ind w:left="120"/>
              <w:spacing w:after="0"/>
              <w:rPr>
                <w:sz w:val="20"/>
                <w:szCs w:val="20"/>
                <w:color w:val="auto"/>
              </w:rPr>
            </w:pPr>
            <w:r>
              <w:rPr>
                <w:rFonts w:ascii="Arial" w:cs="Arial" w:eastAsia="Arial" w:hAnsi="Arial"/>
                <w:sz w:val="18"/>
                <w:szCs w:val="18"/>
                <w:color w:val="auto"/>
              </w:rPr>
              <w:t>Digital assets mined</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(164,393)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Digital assets liquidated</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6,387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4"/>
          </w:tcPr>
          <w:p>
            <w:pPr>
              <w:ind w:left="120"/>
              <w:spacing w:after="0"/>
              <w:rPr>
                <w:sz w:val="20"/>
                <w:szCs w:val="20"/>
                <w:color w:val="auto"/>
              </w:rPr>
            </w:pPr>
            <w:r>
              <w:rPr>
                <w:rFonts w:ascii="Arial" w:cs="Arial" w:eastAsia="Arial" w:hAnsi="Arial"/>
                <w:sz w:val="18"/>
                <w:szCs w:val="18"/>
                <w:color w:val="auto"/>
              </w:rPr>
              <w:t>Loss on disposition of digital assets</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289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Loss on revaluation of digital assets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4,861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4"/>
          </w:tcPr>
          <w:p>
            <w:pPr>
              <w:ind w:left="120"/>
              <w:spacing w:after="0"/>
              <w:rPr>
                <w:sz w:val="20"/>
                <w:szCs w:val="20"/>
                <w:color w:val="auto"/>
              </w:rPr>
            </w:pPr>
            <w:r>
              <w:rPr>
                <w:rFonts w:ascii="Arial" w:cs="Arial" w:eastAsia="Arial" w:hAnsi="Arial"/>
                <w:sz w:val="18"/>
                <w:szCs w:val="18"/>
                <w:color w:val="auto"/>
              </w:rPr>
              <w:t>Share-based payment</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22,585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75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Interest and financial expenses paid</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(3,981)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0" w:type="dxa"/>
            <w:vAlign w:val="bottom"/>
          </w:tcPr>
          <w:p>
            <w:pPr>
              <w:spacing w:after="0"/>
              <w:rPr>
                <w:sz w:val="1"/>
                <w:szCs w:val="1"/>
                <w:color w:val="auto"/>
              </w:rPr>
            </w:pPr>
          </w:p>
        </w:tc>
      </w:tr>
      <w:tr>
        <w:trPr>
          <w:trHeight w:val="216"/>
        </w:trPr>
        <w:tc>
          <w:tcPr>
            <w:tcW w:w="7560" w:type="dxa"/>
            <w:vAlign w:val="bottom"/>
            <w:gridSpan w:val="4"/>
          </w:tcPr>
          <w:p>
            <w:pPr>
              <w:ind w:left="120"/>
              <w:spacing w:after="0"/>
              <w:rPr>
                <w:sz w:val="20"/>
                <w:szCs w:val="20"/>
                <w:color w:val="auto"/>
              </w:rPr>
            </w:pPr>
            <w:r>
              <w:rPr>
                <w:rFonts w:ascii="Arial" w:cs="Arial" w:eastAsia="Arial" w:hAnsi="Arial"/>
                <w:sz w:val="18"/>
                <w:szCs w:val="18"/>
                <w:color w:val="auto"/>
              </w:rPr>
              <w:t>Deferred taxes</w:t>
            </w: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16a</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8,842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Gain on disposition of marketable securities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25c</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6,149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4"/>
          </w:tcPr>
          <w:p>
            <w:pPr>
              <w:ind w:left="120"/>
              <w:spacing w:after="0"/>
              <w:rPr>
                <w:sz w:val="20"/>
                <w:szCs w:val="20"/>
                <w:color w:val="auto"/>
              </w:rPr>
            </w:pPr>
            <w:r>
              <w:rPr>
                <w:rFonts w:ascii="Arial" w:cs="Arial" w:eastAsia="Arial" w:hAnsi="Arial"/>
                <w:sz w:val="18"/>
                <w:szCs w:val="18"/>
                <w:color w:val="auto"/>
              </w:rPr>
              <w:t>Loss (gain) on disposition of property, plant and equipment</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(848)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50"/>
        </w:trPr>
        <w:tc>
          <w:tcPr>
            <w:tcW w:w="7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Changes in non-cash working capital components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15,390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3,243</w:t>
            </w:r>
          </w:p>
        </w:tc>
        <w:tc>
          <w:tcPr>
            <w:tcW w:w="0" w:type="dxa"/>
            <w:vAlign w:val="bottom"/>
          </w:tcPr>
          <w:p>
            <w:pPr>
              <w:spacing w:after="0"/>
              <w:rPr>
                <w:sz w:val="1"/>
                <w:szCs w:val="1"/>
                <w:color w:val="auto"/>
              </w:rPr>
            </w:pPr>
          </w:p>
        </w:tc>
      </w:tr>
      <w:tr>
        <w:trPr>
          <w:trHeight w:val="210"/>
        </w:trPr>
        <w:tc>
          <w:tcPr>
            <w:tcW w:w="7560" w:type="dxa"/>
            <w:vAlign w:val="bottom"/>
            <w:tcBorders>
              <w:top w:val="single" w:sz="8" w:color="CCEEFF"/>
              <w:bottom w:val="single" w:sz="8" w:color="CCEEFF"/>
            </w:tcBorders>
            <w:gridSpan w:val="4"/>
          </w:tcPr>
          <w:p>
            <w:pPr>
              <w:spacing w:after="0" w:line="203" w:lineRule="exact"/>
              <w:rPr>
                <w:sz w:val="20"/>
                <w:szCs w:val="20"/>
                <w:color w:val="auto"/>
              </w:rPr>
            </w:pPr>
            <w:r>
              <w:rPr>
                <w:rFonts w:ascii="Arial" w:cs="Arial" w:eastAsia="Arial" w:hAnsi="Arial"/>
                <w:sz w:val="18"/>
                <w:szCs w:val="18"/>
                <w:color w:val="auto"/>
              </w:rPr>
              <w:t>Net change in cash related to operating activities</w:t>
            </w:r>
          </w:p>
        </w:tc>
        <w:tc>
          <w:tcPr>
            <w:tcW w:w="10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(37,170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7,223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56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Cash flows used in investing activities:</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property, plant and equipment and intangible assets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(108,161)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16"/>
        </w:trPr>
        <w:tc>
          <w:tcPr>
            <w:tcW w:w="7560" w:type="dxa"/>
            <w:vAlign w:val="bottom"/>
            <w:gridSpan w:val="4"/>
          </w:tcPr>
          <w:p>
            <w:pPr>
              <w:spacing w:after="0"/>
              <w:rPr>
                <w:sz w:val="20"/>
                <w:szCs w:val="20"/>
                <w:color w:val="auto"/>
              </w:rPr>
            </w:pPr>
            <w:r>
              <w:rPr>
                <w:rFonts w:ascii="Arial" w:cs="Arial" w:eastAsia="Arial" w:hAnsi="Arial"/>
                <w:sz w:val="18"/>
                <w:szCs w:val="18"/>
                <w:color w:val="auto"/>
              </w:rPr>
              <w:t>Proceeds from sale of property, plant and equipment</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1,109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7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Acquisition through business combination</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560" w:type="dxa"/>
            <w:vAlign w:val="bottom"/>
            <w:gridSpan w:val="4"/>
          </w:tcPr>
          <w:p>
            <w:pPr>
              <w:spacing w:after="0"/>
              <w:rPr>
                <w:sz w:val="20"/>
                <w:szCs w:val="20"/>
                <w:color w:val="auto"/>
              </w:rPr>
            </w:pPr>
            <w:r>
              <w:rPr>
                <w:rFonts w:ascii="Arial" w:cs="Arial" w:eastAsia="Arial" w:hAnsi="Arial"/>
                <w:sz w:val="18"/>
                <w:szCs w:val="18"/>
                <w:color w:val="auto"/>
              </w:rPr>
              <w:t>Equipment prepayments and other</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(85,095)</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756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change in cash related to investing activities</w:t>
            </w: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(215,147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Cash flows from financing activities:</w:t>
            </w:r>
          </w:p>
        </w:tc>
        <w:tc>
          <w:tcPr>
            <w:tcW w:w="4740" w:type="dxa"/>
            <w:vAlign w:val="bottom"/>
            <w:tcBorders>
              <w:bottom w:val="single" w:sz="8" w:color="CCEEFF"/>
            </w:tcBorders>
            <w:gridSpan w:val="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4"/>
          </w:tcPr>
          <w:p>
            <w:pPr>
              <w:spacing w:after="0"/>
              <w:rPr>
                <w:sz w:val="20"/>
                <w:szCs w:val="20"/>
                <w:color w:val="auto"/>
              </w:rPr>
            </w:pPr>
            <w:r>
              <w:rPr>
                <w:rFonts w:ascii="Arial" w:cs="Arial" w:eastAsia="Arial" w:hAnsi="Arial"/>
                <w:sz w:val="18"/>
                <w:szCs w:val="18"/>
                <w:color w:val="auto"/>
              </w:rPr>
              <w:t>Issuance of common shares and warrants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259,174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7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Exercise of warrants and stock options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63,317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16"/>
        </w:trPr>
        <w:tc>
          <w:tcPr>
            <w:tcW w:w="7560" w:type="dxa"/>
            <w:vAlign w:val="bottom"/>
            <w:gridSpan w:val="4"/>
          </w:tcPr>
          <w:p>
            <w:pPr>
              <w:spacing w:after="0"/>
              <w:rPr>
                <w:sz w:val="20"/>
                <w:szCs w:val="20"/>
                <w:color w:val="auto"/>
              </w:rPr>
            </w:pPr>
            <w:r>
              <w:rPr>
                <w:rFonts w:ascii="Arial" w:cs="Arial" w:eastAsia="Arial" w:hAnsi="Arial"/>
                <w:sz w:val="18"/>
                <w:szCs w:val="18"/>
                <w:color w:val="auto"/>
              </w:rPr>
              <w:t>Repayment of lease liabilities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(4,233)</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16"/>
        </w:trPr>
        <w:tc>
          <w:tcPr>
            <w:tcW w:w="7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(20,499)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7560" w:type="dxa"/>
            <w:vAlign w:val="bottom"/>
            <w:gridSpan w:val="4"/>
          </w:tcPr>
          <w:p>
            <w:pPr>
              <w:spacing w:after="0"/>
              <w:rPr>
                <w:sz w:val="20"/>
                <w:szCs w:val="20"/>
                <w:color w:val="auto"/>
              </w:rPr>
            </w:pPr>
            <w:r>
              <w:rPr>
                <w:rFonts w:ascii="Arial" w:cs="Arial" w:eastAsia="Arial" w:hAnsi="Arial"/>
                <w:sz w:val="18"/>
                <w:szCs w:val="18"/>
                <w:color w:val="auto"/>
              </w:rPr>
              <w:t>Proceeds from long-term debt</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14,227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50"/>
        </w:trPr>
        <w:tc>
          <w:tcPr>
            <w:tcW w:w="7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Proceeds from credit facility</w:t>
            </w: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60,000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560" w:type="dxa"/>
            <w:vAlign w:val="bottom"/>
            <w:tcBorders>
              <w:top w:val="single" w:sz="8" w:color="CCEEFF"/>
              <w:bottom w:val="single" w:sz="8" w:color="CCEEFF"/>
            </w:tcBorders>
            <w:gridSpan w:val="4"/>
          </w:tcPr>
          <w:p>
            <w:pPr>
              <w:spacing w:after="0" w:line="203" w:lineRule="exact"/>
              <w:rPr>
                <w:sz w:val="20"/>
                <w:szCs w:val="20"/>
                <w:color w:val="auto"/>
              </w:rPr>
            </w:pPr>
            <w:r>
              <w:rPr>
                <w:rFonts w:ascii="Arial" w:cs="Arial" w:eastAsia="Arial" w:hAnsi="Arial"/>
                <w:sz w:val="18"/>
                <w:szCs w:val="18"/>
                <w:color w:val="auto"/>
              </w:rPr>
              <w:t>Net change in cash related to financing activities</w:t>
            </w:r>
          </w:p>
        </w:tc>
        <w:tc>
          <w:tcPr>
            <w:tcW w:w="10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371,986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560" w:type="dxa"/>
            <w:vAlign w:val="bottom"/>
            <w:gridSpan w:val="4"/>
          </w:tcPr>
          <w:p>
            <w:pPr>
              <w:spacing w:after="0"/>
              <w:rPr>
                <w:sz w:val="20"/>
                <w:szCs w:val="20"/>
                <w:color w:val="auto"/>
              </w:rPr>
            </w:pPr>
            <w:r>
              <w:rPr>
                <w:rFonts w:ascii="Arial" w:cs="Arial" w:eastAsia="Arial" w:hAnsi="Arial"/>
                <w:sz w:val="18"/>
                <w:szCs w:val="18"/>
                <w:color w:val="auto"/>
              </w:rPr>
              <w:t>Exchange rate differences on currency translation</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4"/>
          </w:tcPr>
          <w:p>
            <w:pPr>
              <w:spacing w:after="0"/>
              <w:rPr>
                <w:sz w:val="20"/>
                <w:szCs w:val="20"/>
                <w:color w:val="auto"/>
              </w:rPr>
            </w:pPr>
            <w:r>
              <w:rPr>
                <w:rFonts w:ascii="Arial" w:cs="Arial" w:eastAsia="Arial" w:hAnsi="Arial"/>
                <w:sz w:val="18"/>
                <w:szCs w:val="18"/>
                <w:color w:val="auto"/>
              </w:rPr>
              <w:t>Net change in cash</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119,648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36"/>
        </w:trPr>
        <w:tc>
          <w:tcPr>
            <w:tcW w:w="7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at the beginning of the year</w:t>
            </w: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5,947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16"/>
        </w:trPr>
        <w:tc>
          <w:tcPr>
            <w:tcW w:w="28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at the end of the year</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125,595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5,947</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560" w:type="dxa"/>
            <w:vAlign w:val="bottom"/>
            <w:gridSpan w:val="4"/>
            <w:vMerge w:val="continue"/>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5"/>
        </w:trPr>
        <w:tc>
          <w:tcPr>
            <w:tcW w:w="2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1165860" cy="3086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79" w:name="page80"/>
    <w:bookmarkEnd w:id="79"/>
    <w:p>
      <w:pPr>
        <w:ind w:left="9860"/>
        <w:spacing w:after="0"/>
        <w:rPr>
          <w:sz w:val="20"/>
          <w:szCs w:val="20"/>
          <w:color w:val="auto"/>
        </w:rPr>
      </w:pPr>
      <w:r>
        <w:rPr>
          <w:rFonts w:ascii="Arial" w:cs="Arial" w:eastAsia="Arial" w:hAnsi="Arial"/>
          <w:sz w:val="17"/>
          <w:szCs w:val="17"/>
          <w:b w:val="1"/>
          <w:bCs w:val="1"/>
          <w:color w:val="auto"/>
        </w:rPr>
        <w:t>BITFARMS LTD.</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REPORTING ENTITY AND LIQUIDITY</w:t>
      </w:r>
    </w:p>
    <w:p>
      <w:pPr>
        <w:spacing w:after="0" w:line="229" w:lineRule="exact"/>
        <w:rPr>
          <w:sz w:val="20"/>
          <w:szCs w:val="20"/>
          <w:color w:val="auto"/>
        </w:rPr>
      </w:pPr>
    </w:p>
    <w:p>
      <w:pPr>
        <w:jc w:val="both"/>
        <w:ind w:left="660" w:hanging="652"/>
        <w:spacing w:after="0" w:line="25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Bitfarms was incorporated under the Canada Business Corporation Act on October 11, 2018. The consolidated financial statements of the corporation comprise the accounts of Bitfarms Ltd. and its wholly owned subsidiaries (together referred to as the “Company” or “Bitfarms”). The activities of the Company mainly consist of cryptocurrency mining and are divided into multiple jurisdictions described in Note 26 “Geographical Information”. The Company’s operations are predominantly in Canada and the United States, with new operations having commenced in Paraguay in 2022 and construction of a new facility having commenced in Argentina.</w:t>
      </w:r>
    </w:p>
    <w:p>
      <w:pPr>
        <w:spacing w:after="0" w:line="187" w:lineRule="exact"/>
        <w:rPr>
          <w:rFonts w:ascii="Arial" w:cs="Arial" w:eastAsia="Arial" w:hAnsi="Arial"/>
          <w:sz w:val="18"/>
          <w:szCs w:val="18"/>
          <w:color w:val="auto"/>
        </w:rPr>
      </w:pPr>
    </w:p>
    <w:p>
      <w:pPr>
        <w:jc w:val="both"/>
        <w:ind w:left="660" w:hanging="652"/>
        <w:spacing w:after="0" w:line="291"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Bitfarms is primarily engaged in the cryptocurrency mining industry, a highly volatile market with significant inherent risk. A significant decline in the market prices of cryptocurrencies, an increase in the difficulty of cryptocurrency mining, changes in the regulatory environment and adverse changes in other inherent risks can significantly and negatively impact the Company’s operations and its ability to maintain sufficient liquidity to meet its commitments and minimum collateral requirements for its revolving credit facility, as described in Note 11 and Note 13, respectively. In addition, adverse changes to the factors mentioned above may impact the recoverability of the Company’s digital assets and property, plant and equipment, resulting in impairment charges being recorded. 9159-9290 Quebec Inc. (“Volta”), a wholly owned subsidiary, assists the Company in building and maintaining its server farms and provides electrician services to both commercial and residential customers in Quebec.</w:t>
      </w:r>
    </w:p>
    <w:p>
      <w:pPr>
        <w:spacing w:after="0" w:line="16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common shares of the Company are listed under the trading symbol BITF on Nasdaq and on the TSX Venture Exchange.</w:t>
      </w:r>
    </w:p>
    <w:p>
      <w:pPr>
        <w:spacing w:after="0" w:line="225" w:lineRule="exact"/>
        <w:rPr>
          <w:rFonts w:ascii="Arial" w:cs="Arial" w:eastAsia="Arial" w:hAnsi="Arial"/>
          <w:sz w:val="16"/>
          <w:szCs w:val="16"/>
          <w:color w:val="auto"/>
        </w:rPr>
      </w:pPr>
    </w:p>
    <w:p>
      <w:pPr>
        <w:jc w:val="both"/>
        <w:ind w:left="660" w:hanging="652"/>
        <w:spacing w:after="0" w:line="291"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March 2020, the World Health Organization declared COVID-19 a pandemic. The potential impacts that COVID-19 may have on the Company includes increases in cryptocurrency price volatility and delays in receiving future orders of mining hardware and construction materials required to achieve the Company’s growth objectives. The Company has been, and is expected to continue to be, operating throughout the pandemic. No significant impact of COVID-19 has been observed on the Company’s existing operations for the year ended December 31, 2021; however; the Company has observed longer than usual lead times and greater price fluctuations than usual in procuring mining equipment and construction materials required for the Company’s growth objectives. It is not possible to reliably estimate the length and severity of these developments as well as their impact on the financial results and position of the Company and its operating subsidiaries in future periods.</w:t>
      </w:r>
    </w:p>
    <w:p>
      <w:pPr>
        <w:spacing w:after="0" w:line="166" w:lineRule="exact"/>
        <w:rPr>
          <w:rFonts w:ascii="Arial" w:cs="Arial" w:eastAsia="Arial" w:hAnsi="Arial"/>
          <w:sz w:val="16"/>
          <w:szCs w:val="16"/>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these financial statements, the following terms shall have the following definitions: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1</w:t>
            </w:r>
          </w:p>
        </w:tc>
        <w:tc>
          <w:tcPr>
            <w:tcW w:w="2480" w:type="dxa"/>
            <w:vAlign w:val="bottom"/>
          </w:tcPr>
          <w:p>
            <w:pPr>
              <w:ind w:left="280"/>
              <w:spacing w:after="0"/>
              <w:rPr>
                <w:sz w:val="20"/>
                <w:szCs w:val="20"/>
                <w:color w:val="auto"/>
              </w:rPr>
            </w:pPr>
            <w:r>
              <w:rPr>
                <w:rFonts w:ascii="Arial" w:cs="Arial" w:eastAsia="Arial" w:hAnsi="Arial"/>
                <w:sz w:val="18"/>
                <w:szCs w:val="18"/>
                <w:color w:val="auto"/>
              </w:rPr>
              <w:t>Backbone</w:t>
            </w:r>
          </w:p>
        </w:tc>
        <w:tc>
          <w:tcPr>
            <w:tcW w:w="5720" w:type="dxa"/>
            <w:vAlign w:val="bottom"/>
          </w:tcPr>
          <w:p>
            <w:pPr>
              <w:ind w:left="720"/>
              <w:spacing w:after="0"/>
              <w:rPr>
                <w:sz w:val="20"/>
                <w:szCs w:val="20"/>
                <w:color w:val="auto"/>
              </w:rPr>
            </w:pPr>
            <w:r>
              <w:rPr>
                <w:rFonts w:ascii="Arial" w:cs="Arial" w:eastAsia="Arial" w:hAnsi="Arial"/>
                <w:sz w:val="18"/>
                <w:szCs w:val="18"/>
                <w:color w:val="auto"/>
              </w:rPr>
              <w:t>Backbone Hosting Solutions Inc.</w:t>
            </w: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2</w:t>
            </w:r>
          </w:p>
        </w:tc>
        <w:tc>
          <w:tcPr>
            <w:tcW w:w="2480" w:type="dxa"/>
            <w:vAlign w:val="bottom"/>
          </w:tcPr>
          <w:p>
            <w:pPr>
              <w:ind w:left="280"/>
              <w:spacing w:after="0"/>
              <w:rPr>
                <w:sz w:val="20"/>
                <w:szCs w:val="20"/>
                <w:color w:val="auto"/>
              </w:rPr>
            </w:pPr>
            <w:r>
              <w:rPr>
                <w:rFonts w:ascii="Arial" w:cs="Arial" w:eastAsia="Arial" w:hAnsi="Arial"/>
                <w:sz w:val="18"/>
                <w:szCs w:val="18"/>
                <w:color w:val="auto"/>
              </w:rPr>
              <w:t>Volta</w:t>
            </w:r>
          </w:p>
        </w:tc>
        <w:tc>
          <w:tcPr>
            <w:tcW w:w="5720" w:type="dxa"/>
            <w:vAlign w:val="bottom"/>
          </w:tcPr>
          <w:p>
            <w:pPr>
              <w:ind w:left="720"/>
              <w:spacing w:after="0"/>
              <w:rPr>
                <w:sz w:val="20"/>
                <w:szCs w:val="20"/>
                <w:color w:val="auto"/>
              </w:rPr>
            </w:pPr>
            <w:r>
              <w:rPr>
                <w:rFonts w:ascii="Arial" w:cs="Arial" w:eastAsia="Arial" w:hAnsi="Arial"/>
                <w:sz w:val="18"/>
                <w:szCs w:val="18"/>
                <w:color w:val="auto"/>
              </w:rPr>
              <w:t>9159-9290 Quebec Inc.</w:t>
            </w: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3</w:t>
            </w:r>
          </w:p>
        </w:tc>
        <w:tc>
          <w:tcPr>
            <w:tcW w:w="2480" w:type="dxa"/>
            <w:vAlign w:val="bottom"/>
          </w:tcPr>
          <w:p>
            <w:pPr>
              <w:ind w:left="280"/>
              <w:spacing w:after="0"/>
              <w:rPr>
                <w:sz w:val="20"/>
                <w:szCs w:val="20"/>
                <w:color w:val="auto"/>
              </w:rPr>
            </w:pPr>
            <w:r>
              <w:rPr>
                <w:rFonts w:ascii="Arial" w:cs="Arial" w:eastAsia="Arial" w:hAnsi="Arial"/>
                <w:sz w:val="18"/>
                <w:szCs w:val="18"/>
                <w:color w:val="auto"/>
              </w:rPr>
              <w:t>Backbone Argentina</w:t>
            </w:r>
          </w:p>
        </w:tc>
        <w:tc>
          <w:tcPr>
            <w:tcW w:w="5720" w:type="dxa"/>
            <w:vAlign w:val="bottom"/>
          </w:tcPr>
          <w:p>
            <w:pPr>
              <w:ind w:left="720"/>
              <w:spacing w:after="0"/>
              <w:rPr>
                <w:sz w:val="20"/>
                <w:szCs w:val="20"/>
                <w:color w:val="auto"/>
              </w:rPr>
            </w:pPr>
            <w:r>
              <w:rPr>
                <w:rFonts w:ascii="Arial" w:cs="Arial" w:eastAsia="Arial" w:hAnsi="Arial"/>
                <w:sz w:val="18"/>
                <w:szCs w:val="18"/>
                <w:color w:val="auto"/>
              </w:rPr>
              <w:t>Backbone Hosting Solutions SAU</w:t>
            </w: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4</w:t>
            </w:r>
          </w:p>
        </w:tc>
        <w:tc>
          <w:tcPr>
            <w:tcW w:w="2480" w:type="dxa"/>
            <w:vAlign w:val="bottom"/>
          </w:tcPr>
          <w:p>
            <w:pPr>
              <w:ind w:left="280"/>
              <w:spacing w:after="0"/>
              <w:rPr>
                <w:sz w:val="20"/>
                <w:szCs w:val="20"/>
                <w:color w:val="auto"/>
              </w:rPr>
            </w:pPr>
            <w:r>
              <w:rPr>
                <w:rFonts w:ascii="Arial" w:cs="Arial" w:eastAsia="Arial" w:hAnsi="Arial"/>
                <w:sz w:val="18"/>
                <w:szCs w:val="18"/>
                <w:color w:val="auto"/>
              </w:rPr>
              <w:t>Backbone Paraguay</w:t>
            </w:r>
          </w:p>
        </w:tc>
        <w:tc>
          <w:tcPr>
            <w:tcW w:w="5720" w:type="dxa"/>
            <w:vAlign w:val="bottom"/>
          </w:tcPr>
          <w:p>
            <w:pPr>
              <w:ind w:left="720"/>
              <w:spacing w:after="0"/>
              <w:rPr>
                <w:sz w:val="20"/>
                <w:szCs w:val="20"/>
                <w:color w:val="auto"/>
              </w:rPr>
            </w:pPr>
            <w:r>
              <w:rPr>
                <w:rFonts w:ascii="Arial" w:cs="Arial" w:eastAsia="Arial" w:hAnsi="Arial"/>
                <w:sz w:val="18"/>
                <w:szCs w:val="18"/>
                <w:color w:val="auto"/>
              </w:rPr>
              <w:t>Ankara Suites S.A</w:t>
            </w: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5</w:t>
            </w:r>
          </w:p>
        </w:tc>
        <w:tc>
          <w:tcPr>
            <w:tcW w:w="2480" w:type="dxa"/>
            <w:vAlign w:val="bottom"/>
          </w:tcPr>
          <w:p>
            <w:pPr>
              <w:ind w:left="280"/>
              <w:spacing w:after="0"/>
              <w:rPr>
                <w:sz w:val="20"/>
                <w:szCs w:val="20"/>
                <w:color w:val="auto"/>
              </w:rPr>
            </w:pPr>
            <w:r>
              <w:rPr>
                <w:rFonts w:ascii="Arial" w:cs="Arial" w:eastAsia="Arial" w:hAnsi="Arial"/>
                <w:sz w:val="18"/>
                <w:szCs w:val="18"/>
                <w:color w:val="auto"/>
              </w:rPr>
              <w:t>Backbone Mining</w:t>
            </w:r>
          </w:p>
        </w:tc>
        <w:tc>
          <w:tcPr>
            <w:tcW w:w="5720" w:type="dxa"/>
            <w:vAlign w:val="bottom"/>
          </w:tcPr>
          <w:p>
            <w:pPr>
              <w:ind w:left="720"/>
              <w:spacing w:after="0"/>
              <w:rPr>
                <w:sz w:val="20"/>
                <w:szCs w:val="20"/>
                <w:color w:val="auto"/>
              </w:rPr>
            </w:pPr>
            <w:r>
              <w:rPr>
                <w:rFonts w:ascii="Arial" w:cs="Arial" w:eastAsia="Arial" w:hAnsi="Arial"/>
                <w:sz w:val="18"/>
                <w:szCs w:val="18"/>
                <w:color w:val="auto"/>
              </w:rPr>
              <w:t>Backbone Mining Solutions LLC</w:t>
            </w: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6</w:t>
            </w:r>
          </w:p>
        </w:tc>
        <w:tc>
          <w:tcPr>
            <w:tcW w:w="2480" w:type="dxa"/>
            <w:vAlign w:val="bottom"/>
          </w:tcPr>
          <w:p>
            <w:pPr>
              <w:ind w:left="280"/>
              <w:spacing w:after="0"/>
              <w:rPr>
                <w:sz w:val="20"/>
                <w:szCs w:val="20"/>
                <w:color w:val="auto"/>
              </w:rPr>
            </w:pPr>
            <w:r>
              <w:rPr>
                <w:rFonts w:ascii="Arial" w:cs="Arial" w:eastAsia="Arial" w:hAnsi="Arial"/>
                <w:sz w:val="18"/>
                <w:szCs w:val="18"/>
                <w:color w:val="auto"/>
              </w:rPr>
              <w:t>BTC</w:t>
            </w:r>
          </w:p>
        </w:tc>
        <w:tc>
          <w:tcPr>
            <w:tcW w:w="5720" w:type="dxa"/>
            <w:vAlign w:val="bottom"/>
          </w:tcPr>
          <w:p>
            <w:pPr>
              <w:ind w:left="720"/>
              <w:spacing w:after="0"/>
              <w:rPr>
                <w:sz w:val="20"/>
                <w:szCs w:val="20"/>
                <w:color w:val="auto"/>
              </w:rPr>
            </w:pPr>
            <w:r>
              <w:rPr>
                <w:rFonts w:ascii="Arial" w:cs="Arial" w:eastAsia="Arial" w:hAnsi="Arial"/>
                <w:sz w:val="18"/>
                <w:szCs w:val="18"/>
                <w:color w:val="auto"/>
              </w:rPr>
              <w:t>Bitcoin</w:t>
            </w: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7</w:t>
            </w:r>
          </w:p>
        </w:tc>
        <w:tc>
          <w:tcPr>
            <w:tcW w:w="2480" w:type="dxa"/>
            <w:vAlign w:val="bottom"/>
          </w:tcPr>
          <w:p>
            <w:pPr>
              <w:ind w:left="280"/>
              <w:spacing w:after="0"/>
              <w:rPr>
                <w:sz w:val="20"/>
                <w:szCs w:val="20"/>
                <w:color w:val="auto"/>
              </w:rPr>
            </w:pPr>
            <w:r>
              <w:rPr>
                <w:rFonts w:ascii="Arial" w:cs="Arial" w:eastAsia="Arial" w:hAnsi="Arial"/>
                <w:sz w:val="18"/>
                <w:szCs w:val="18"/>
                <w:color w:val="auto"/>
              </w:rPr>
              <w:t>BVVE</w:t>
            </w:r>
          </w:p>
        </w:tc>
        <w:tc>
          <w:tcPr>
            <w:tcW w:w="5720" w:type="dxa"/>
            <w:vAlign w:val="bottom"/>
          </w:tcPr>
          <w:p>
            <w:pPr>
              <w:ind w:left="720"/>
              <w:spacing w:after="0"/>
              <w:rPr>
                <w:sz w:val="20"/>
                <w:szCs w:val="20"/>
                <w:color w:val="auto"/>
              </w:rPr>
            </w:pPr>
            <w:r>
              <w:rPr>
                <w:rFonts w:ascii="Arial" w:cs="Arial" w:eastAsia="Arial" w:hAnsi="Arial"/>
                <w:sz w:val="18"/>
                <w:szCs w:val="18"/>
                <w:color w:val="auto"/>
                <w:w w:val="92"/>
              </w:rPr>
              <w:t>Blockchain Verification and Validation Equipment (including miners)</w:t>
            </w: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8</w:t>
            </w:r>
          </w:p>
        </w:tc>
        <w:tc>
          <w:tcPr>
            <w:tcW w:w="2480" w:type="dxa"/>
            <w:vAlign w:val="bottom"/>
          </w:tcPr>
          <w:p>
            <w:pPr>
              <w:ind w:left="280"/>
              <w:spacing w:after="0"/>
              <w:rPr>
                <w:sz w:val="20"/>
                <w:szCs w:val="20"/>
                <w:color w:val="auto"/>
              </w:rPr>
            </w:pPr>
            <w:r>
              <w:rPr>
                <w:rFonts w:ascii="Arial" w:cs="Arial" w:eastAsia="Arial" w:hAnsi="Arial"/>
                <w:sz w:val="18"/>
                <w:szCs w:val="18"/>
                <w:color w:val="auto"/>
              </w:rPr>
              <w:t>CAD</w:t>
            </w:r>
          </w:p>
        </w:tc>
        <w:tc>
          <w:tcPr>
            <w:tcW w:w="5720" w:type="dxa"/>
            <w:vAlign w:val="bottom"/>
          </w:tcPr>
          <w:p>
            <w:pPr>
              <w:ind w:left="720"/>
              <w:spacing w:after="0"/>
              <w:rPr>
                <w:sz w:val="20"/>
                <w:szCs w:val="20"/>
                <w:color w:val="auto"/>
              </w:rPr>
            </w:pPr>
            <w:r>
              <w:rPr>
                <w:rFonts w:ascii="Arial" w:cs="Arial" w:eastAsia="Arial" w:hAnsi="Arial"/>
                <w:sz w:val="18"/>
                <w:szCs w:val="18"/>
                <w:color w:val="auto"/>
              </w:rPr>
              <w:t>Canadian Dollars</w:t>
            </w:r>
          </w:p>
        </w:tc>
      </w:tr>
      <w:tr>
        <w:trPr>
          <w:trHeight w:val="230"/>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9</w:t>
            </w:r>
          </w:p>
        </w:tc>
        <w:tc>
          <w:tcPr>
            <w:tcW w:w="2480" w:type="dxa"/>
            <w:vAlign w:val="bottom"/>
          </w:tcPr>
          <w:p>
            <w:pPr>
              <w:ind w:left="280"/>
              <w:spacing w:after="0"/>
              <w:rPr>
                <w:sz w:val="20"/>
                <w:szCs w:val="20"/>
                <w:color w:val="auto"/>
              </w:rPr>
            </w:pPr>
            <w:r>
              <w:rPr>
                <w:rFonts w:ascii="Arial" w:cs="Arial" w:eastAsia="Arial" w:hAnsi="Arial"/>
                <w:sz w:val="18"/>
                <w:szCs w:val="18"/>
                <w:color w:val="auto"/>
              </w:rPr>
              <w:t>ARS</w:t>
            </w:r>
          </w:p>
        </w:tc>
        <w:tc>
          <w:tcPr>
            <w:tcW w:w="5720" w:type="dxa"/>
            <w:vAlign w:val="bottom"/>
          </w:tcPr>
          <w:p>
            <w:pPr>
              <w:ind w:left="720"/>
              <w:spacing w:after="0"/>
              <w:rPr>
                <w:sz w:val="20"/>
                <w:szCs w:val="20"/>
                <w:color w:val="auto"/>
              </w:rPr>
            </w:pPr>
            <w:r>
              <w:rPr>
                <w:rFonts w:ascii="Arial" w:cs="Arial" w:eastAsia="Arial" w:hAnsi="Arial"/>
                <w:sz w:val="18"/>
                <w:szCs w:val="18"/>
                <w:color w:val="auto"/>
              </w:rPr>
              <w:t>Argentine Pesos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165860" cy="3086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80" w:name="page81"/>
    <w:bookmarkEnd w:id="80"/>
    <w:p>
      <w:pPr>
        <w:ind w:left="9860"/>
        <w:spacing w:after="0"/>
        <w:rPr>
          <w:sz w:val="20"/>
          <w:szCs w:val="20"/>
          <w:color w:val="auto"/>
        </w:rPr>
      </w:pPr>
      <w:r>
        <w:rPr>
          <w:rFonts w:ascii="Arial" w:cs="Arial" w:eastAsia="Arial" w:hAnsi="Arial"/>
          <w:sz w:val="17"/>
          <w:szCs w:val="17"/>
          <w:b w:val="1"/>
          <w:bCs w:val="1"/>
          <w:color w:val="auto"/>
        </w:rPr>
        <w:t>BITFARMS LTD.</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accounting policies have been applied consistently in the financial statements for all periods presented unless otherwise stated.</w:t>
      </w:r>
    </w:p>
    <w:p>
      <w:pPr>
        <w:spacing w:after="0" w:line="225"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Basis of presentation of the financial statements: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of the Company have been prepared in accordance with International Financial Reporting Standards as issued by the International Accounting Standards Board (IASB) (IFRS).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consolidated financial statements have been prepared on a cost basis, except for derivative financial instruments and digital assets that have been measured at fair value. The consolidated financial statements are presented in U.S. dollars and all values are rounded to the nearest thousand, except where otherwise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elected to present the profit or loss items using the function of expense method.</w:t>
      </w:r>
    </w:p>
    <w:p>
      <w:pPr>
        <w:spacing w:after="0" w:line="225"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operating cycle: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activities have a one year operating cycle. Accordingly, the assets and liabilities are classified in the statement of financial position as current assets and liabilities based on the Company’s operating cycle. The operating cycle of the Company is to mine digital assets and then routinely deposit them into custody, or convert them to fiat currency as needed.</w:t>
      </w:r>
    </w:p>
    <w:p>
      <w:pPr>
        <w:spacing w:after="0" w:line="184"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financial statements consolidate the Company’s subsidiaries from the date of acquisition until the date that control is lost. The subsidiaries are controlled by the Company, where control is achieved when the Company is exposed to or has the right to variable returns from its involvement with the investee and has the current ability to direct the activities of the investee that significantly affect the investee’s returns.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financial statements of the Company and its subsidiaries are prepared as of the same dates and periods. The consolidated financial statements are prepared using uniform accounting policies by all subsidiaries of the Company. Significant intercompany balances and transactions and gains or losses resulting from intercompany transactions are eliminated in full in the consolidated financial statements.</w:t>
      </w:r>
    </w:p>
    <w:p>
      <w:pPr>
        <w:spacing w:after="0" w:line="184"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Business combinations are accounted for using the acquisition method. The cost of an acquisition is measured as the aggregate of the consideration transferred, which is measured at acquisition date at fair value, and the amount of any non-controlling interests in the acquiree. For each business combination, the Company elects whether to measure the non-controlling interests in the acquiree at fair value or at the proportionate share of the acquiree’s identifiable net assets. Acquisition-related costs are expensed as incurred and included in general and administrative expenses.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determines that it has acquired a business when the acquired set of activities and assets include an input and a substantive process that together significantly contribute to the ability to create outputs.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is initially measured at cost (being the excess of the aggregate of the consideration transferred and the amount recognised for non-controlling interests and any previous interest held over the net identifiable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1165860" cy="3086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81" w:name="page82"/>
    <w:bookmarkEnd w:id="81"/>
    <w:p>
      <w:pPr>
        <w:ind w:left="9860"/>
        <w:spacing w:after="0"/>
        <w:rPr>
          <w:sz w:val="20"/>
          <w:szCs w:val="20"/>
          <w:color w:val="auto"/>
        </w:rPr>
      </w:pPr>
      <w:r>
        <w:rPr>
          <w:rFonts w:ascii="Arial" w:cs="Arial" w:eastAsia="Arial" w:hAnsi="Arial"/>
          <w:sz w:val="17"/>
          <w:szCs w:val="17"/>
          <w:b w:val="1"/>
          <w:bCs w:val="1"/>
          <w:color w:val="auto"/>
        </w:rPr>
        <w:t>BITFARMS LTD.</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 (Cont.)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After initial recognition, goodwill is measured at cost less any accumulated impairment losses. For the purpose of impairment testing, goodwill acquired in a business combination is, from the acquisition date, allocated to each of the Company’s cash-generating units (CGUs) or group of CGUs that are expected to benefit from the combination, irrespective of whether other assets or liabilities of the acquiree are assigned to those units.</w:t>
      </w:r>
    </w:p>
    <w:p>
      <w:pPr>
        <w:spacing w:after="0" w:line="165"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Function currency and presentation currency:</w:t>
      </w:r>
    </w:p>
    <w:p>
      <w:pPr>
        <w:spacing w:after="0" w:line="225"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Functional currency and presentation currency:</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financial statements are presented in U.S. Dollars, which is the functional currency of the parent company, as well as the functional currency of Backbone, Backbone Argentina, Backbone Paraguay and Backbone Mining. The functional currency is the currency that best reflects the economic environment in which the Company operates and conducts its transactions. The functional currency of Volta, a Canadian subsidiary, is the Canadian dollar.</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determines the functional currency of each subsidiary. Volta has a Canadian functional currency, and, as such, assets and liabilities are translated using the exchange rate in effect at each reporting date. Revenues and expenses are translated using the average exchange rates in effect for all periods presented. The resulting translation differences are included in other comprehensive income. The translation differences on foreign currency translation of Volta was immaterial for the years ended December 31, 2021 and December 31, 2020.</w:t>
      </w:r>
    </w:p>
    <w:p>
      <w:pPr>
        <w:spacing w:after="0" w:line="171"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Transactions, assets and liabilities in foreign currency:</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Transactions in foreign currency are initially recorded at the exchange rate in effect on the transaction date. Monetary assets and liabilities in foreign currency are subsequently translated into the functional currency at the exchange rate in effect at each reporting date. Exchange rate differences, other than those capitalized to qualifying assets or carried to equity in hedging transactions, are included in profit or loss. Non-monetary assets and liabilities in foreign currency stated at cost are translated at the exchange rate in effect at the transaction date. Non-monetary assets and liabilities in foreign currency carried at fair value are translated at the exchange rate at the date on which the fair value was determined.</w:t>
      </w:r>
    </w:p>
    <w:p>
      <w:pPr>
        <w:spacing w:after="0" w:line="176"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from contracts with customers is recognized when control over the goods or services is transferred to the customer. The transaction price is the amount of the consideration that is expected to be received based on the contract terms, excluding amounts collected on behalf of third parties (such as taxes). The following are the specific revenue recognition criteria which must be met before revenue is recognized:</w:t>
      </w:r>
    </w:p>
    <w:p>
      <w:pPr>
        <w:spacing w:after="0" w:line="184"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Revenues from cryptocurrency mining:</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entered into contracts with mining pools and has undertaken the performance obligation of providing computing power to the mining pool in exchange for non-cash consideration in the form of cryptocurrency. The Company measures the non-cash consideration received at the fair market value of the cryptocurrency received. Management estimates fair value on a daily basis as the quantity of cryptocurrency received multiplied by the price quoted on www.coinmarketcap.com (“Coinmarketcap”) on the day it was received. Management considers the prices quoted on Coinmarketcap to be a level 2 input under IFRS 13 Fair Value Measurement. Any difference between the fair value of cryptocurrency recorded upon receipt from mining activities and the actual realized price upon disposal are recorded as a gain or loss on disposition of cryptocurrency.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1165860" cy="3086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BITFARMS LTD.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 (Cont.)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Cryptocurrency on hand at the end of a reporting period, if any, is classified as digital assets, and is accounted for under IAS 38 Intangible Assets, as an intangible asset with an indefinite useful life initially measured at cost, deemed to be the fair value upon receipt as described above, and subsequently measured under the revaluation model. Under the revaluation model, increases in the cryptocurrency’s carrying amount is recognized in other comprehensive income and under accumulated other comprehensive income in equity. However, increases are recognized in profit or loss to the extent that it reverses a revaluation decrease of cryptocurrency previously recognized in profit or loss. The fair value of cryptocurrency on hand at the end of the reporting period is calculated as the quantity of cryptocurrency on hand multiplied by price quoted on Coinmarketcap as at the reporting date.</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reports cryptocurrency on hand at the end of the reporting period as digital assets, which are classified as current assets as management has determined that the cryptocurrency on hand at the end of the reporting period have markets with sufficient liquidity to allow conversion within the Company’s normal operating cycle. The Company presents cryptocurrency pledged as collateral separate from unencumbered cryptocurrency.</w:t>
      </w:r>
    </w:p>
    <w:p>
      <w:pPr>
        <w:spacing w:after="0" w:line="149"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Revenues from hosting cryptocurrency mining equipment: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entered into hosting contracts where it operates mining equipment on behalf of third parties within its facilities. Revenue from hosting contracts is measured as the Company meets its obligation of operating the hosted equipment over time. These contracts have been terminated as of December 31, 2021.</w:t>
      </w:r>
    </w:p>
    <w:p>
      <w:pPr>
        <w:spacing w:after="0" w:line="184"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Revenue from electrical services: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through Volta, sells electrical components and provides electrician installation for those components as well as repair and maintenance services. Revenues from providing services are recognized according to the stage of completion of the transaction as at the balance sheet date. The stage of completion is estimated based on the costs incurred for the transaction compared to the estimated cost of completion for the project. According to this method, revenues are recognized in the reporting period in which the services are provided. In the event that the outcome of the contract cannot be measured reliably, the revenues are recognized to the extent of the recoverable expenses incurred.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amounts received in advance for future services to be provided are recorded as deferred revenues (contract liability), grouped with trade payables and accrued liabilities, and recognized as revenue in profit or loss when the services are rendered.</w:t>
      </w:r>
    </w:p>
    <w:p>
      <w:pPr>
        <w:spacing w:after="0" w:line="170"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Income tax:</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income tax expense for the year comprises current and deferred taxes. These taxes are recognized in profit or loss, except to the extent that they relate to items which are recognized in other comprehensive income or loss or directly in shareholders’ equity.</w:t>
      </w:r>
    </w:p>
    <w:p>
      <w:pPr>
        <w:spacing w:after="0" w:line="170"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Current taxes: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current tax liability is measured using the tax rates and tax laws that have been enacted or substantively enacted by the reporting date as well as adjustments required in connection with tax liabilities in respect of previous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1165860" cy="3086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BITFARMS LTD.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 (Cont.)</w:t>
      </w:r>
    </w:p>
    <w:p>
      <w:pPr>
        <w:spacing w:after="0" w:line="229"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Deferred taxes: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taxes are computed in respect of temporary differences between the carrying amounts in the financial statements and the amounts attributed for tax purposes. Deferred taxes are measured at the tax rate that is expected to apply when the asset is realized, or the liability is settled, based on tax laws that have been enacted or substantively enacted by the reporting date.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tax assets are reviewed at each reporting date and reduced to the extent that it is not probable that they will be utilized. Deductible carryforward losses and temporary differences for which deferred tax assets had not been recognized are reviewed at each reporting date and a respective deferred tax asset is recognized to the extent that their utilization is probable.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Taxes that would apply in the event of the disposal of investments in investees have not been taken into account in computing deferred taxes as long as the disposal of the investments in investees is not probable in the foreseeable future.</w:t>
      </w:r>
    </w:p>
    <w:p>
      <w:pPr>
        <w:spacing w:after="0" w:line="170"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policy for leases is applied as follows: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assesses at contract inception whether a contract is, or contains, a lease. That is, if the contract conveys the right to control the use of an identified asset for a period of time in exchange for consideration.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 as a lessee:</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applies a single recognition and measurement approach for all leases except for short-term leases and leases of low-value assets. The Company recognizes lease liabilities to make lease payments and right-of-use assets representing the right to use the underlying assets.</w:t>
      </w:r>
    </w:p>
    <w:p>
      <w:pPr>
        <w:spacing w:after="0" w:line="146"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Right-of-use assets: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right-of-use assets at the commencement date of the lease (i.e., the date the underlying asset is available for use). Right-of-use assets are measured at cost, less any accumulated depreciation and impairment losses, and adjusted for any remeasurement of lease liabilities. The cost of right-of-use assets includes the amount of lease liabilities recognized, initial direct costs incurred, and lease payments made at or before the commencement date less any lease incentives received. Right-of-use assets are depreciated over the shorter of the lease term and the estimated useful lives of the assets,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Asset Class</w:t>
            </w:r>
          </w:p>
        </w:tc>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Depreciation Method</w:t>
            </w:r>
          </w:p>
        </w:tc>
        <w:tc>
          <w:tcPr>
            <w:tcW w:w="3600" w:type="dxa"/>
            <w:vAlign w:val="bottom"/>
          </w:tcPr>
          <w:p>
            <w:pPr>
              <w:spacing w:after="0"/>
              <w:rPr>
                <w:sz w:val="20"/>
                <w:szCs w:val="20"/>
                <w:color w:val="auto"/>
              </w:rPr>
            </w:pPr>
            <w:r>
              <w:rPr>
                <w:rFonts w:ascii="Arial" w:cs="Arial" w:eastAsia="Arial" w:hAnsi="Arial"/>
                <w:sz w:val="18"/>
                <w:szCs w:val="18"/>
                <w:b w:val="1"/>
                <w:bCs w:val="1"/>
                <w:color w:val="auto"/>
              </w:rPr>
              <w:t>Depreciation period</w:t>
            </w:r>
          </w:p>
        </w:tc>
      </w:tr>
      <w:tr>
        <w:trPr>
          <w:trHeight w:val="216"/>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Leased premises</w:t>
            </w:r>
          </w:p>
        </w:tc>
        <w:tc>
          <w:tcPr>
            <w:tcW w:w="12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Straight-line</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4-10 years</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Vehicles and other</w:t>
            </w:r>
          </w:p>
        </w:tc>
        <w:tc>
          <w:tcPr>
            <w:tcW w:w="3800" w:type="dxa"/>
            <w:vAlign w:val="bottom"/>
            <w:gridSpan w:val="2"/>
          </w:tcPr>
          <w:p>
            <w:pPr>
              <w:spacing w:after="0"/>
              <w:rPr>
                <w:sz w:val="20"/>
                <w:szCs w:val="20"/>
                <w:color w:val="auto"/>
              </w:rPr>
            </w:pPr>
            <w:r>
              <w:rPr>
                <w:rFonts w:ascii="Arial" w:cs="Arial" w:eastAsia="Arial" w:hAnsi="Arial"/>
                <w:sz w:val="18"/>
                <w:szCs w:val="18"/>
                <w:color w:val="auto"/>
              </w:rPr>
              <w:t>Straight-line</w:t>
            </w:r>
          </w:p>
        </w:tc>
        <w:tc>
          <w:tcPr>
            <w:tcW w:w="3600" w:type="dxa"/>
            <w:vAlign w:val="bottom"/>
          </w:tcPr>
          <w:p>
            <w:pPr>
              <w:spacing w:after="0"/>
              <w:rPr>
                <w:sz w:val="20"/>
                <w:szCs w:val="20"/>
                <w:color w:val="auto"/>
              </w:rPr>
            </w:pPr>
            <w:r>
              <w:rPr>
                <w:rFonts w:ascii="Arial" w:cs="Arial" w:eastAsia="Arial" w:hAnsi="Arial"/>
                <w:sz w:val="18"/>
                <w:szCs w:val="18"/>
                <w:color w:val="auto"/>
              </w:rPr>
              <w:t>3-5 years</w:t>
            </w: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BVVE and Electrical components</w:t>
            </w: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 of years</w:t>
            </w: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5 years</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ownership of the leased asset transfers to the Company at the end of the lease term or the cost reflects the exercise of a purchase option, depreciation is calculated using the estimated useful life of the asset and is classified with property plant and equipment. Refer to the accounting policies in section j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1165860" cy="3086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BITFARMS LTD.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 (Cont.)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right-of-use assets are also subject to impairment. Refer to the accounting policies in section l, Impairment of non-financial assets.</w:t>
      </w:r>
    </w:p>
    <w:p>
      <w:pPr>
        <w:spacing w:after="0" w:line="225"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Lease liabilities: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the commencement date of the lease, the Company recognizes lease liabilities measured at the present value of lease payments to be made over the lease term. The lease payments include fixed payments (including in-substance fixed payments) less any lease incentives receivable, variable lease payments that depend on an index or a rate, and amounts expected to be paid under residual value guarantees. The lease payments also include the exercise price of a purchase option reasonably certain to be exercised by the Company and payments of penalties for terminating the lease if the lease term reflects the Company exercising the option to terminate. Variable lease payments that do not depend on an index or a rate are recognized as expenses (unless they are incurred to produce inventories) in the period in which the event or condition that triggers the payment occurs.</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calculating the present value of lease payments, the Company uses its incremental borrowing rate at the lease commencement date because the interest rate implicit in the lease is not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the lease payments (e.g., changes to future payments resulting from a change in an index or rate used to determine such lease payments) or a change in the assessment of an option to purchase the underlying asset.</w:t>
      </w:r>
    </w:p>
    <w:p>
      <w:pPr>
        <w:spacing w:after="0" w:line="176"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Short-term leases and leases of low value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applies the short-term lease recognition exemption to its short-term leases of machinery, equipment and farming facilities (i.e., those leases that have a lease term of 12 months or less from the commencement date and do not contain a purchase option). The Company also applies the lease of low-value assets recognition exemption to leases of office equipment that are considered to be low value. Lease payments on short-term leases and leases of low-value assets are recognized as expense on a straight-line basis over the lease term.</w:t>
      </w:r>
    </w:p>
    <w:p>
      <w:pPr>
        <w:spacing w:after="0" w:line="187"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Assets held for sale: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Non-currents assets or a disposal group are classified as held for sale if their carrying amount is expected to be recovered principally through a sale transaction rather than through continuing use. For this to be the case, the assets must be available for immediate sale in their present condition, the Company must be committed to their sale, there must be a program to locate a buyer, and it is highly probable that a sale will be completed within one year from the date of classification. From the date of such initial classification, these assets are no longer depreciated and are presented separately as current assets at the lower of their carrying amount and fair value less costs to sell. Other comprehensive income (loss) in respect to a non-current asset or a group of non-current assets that is classified as held for sale is presented separately in equity.</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When an entity no longer plans to sell an asset in a sale transaction, it ceases the classification of the asset as held for sale and measures it at the lower of its carrying amount had it not been classified as held for sale or the recoverable amount of the asset on the date of the decision not to sell the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1165860" cy="3086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BITFARMS LTD.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 (Cont.)</w:t>
      </w:r>
    </w:p>
    <w:p>
      <w:pPr>
        <w:spacing w:after="0" w:line="229"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Property, plant and equipment: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Property, plant and equipment are carried at cost, including directly attributable costs, less accumulated depreciation, accumulated impairment losses and any related investment grants, and excluding day-to-day servicing expenses. Cost includes spare parts and auxiliary equipment that are used in connection with plant and equipment. The cost of an item of property, plant and equipment comprises the initial estimate of the costs of dismantling and removing the item and restoring the site on which the item is located.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Property, plant and equipment are depreciated as follows:</w:t>
            </w:r>
          </w:p>
        </w:tc>
        <w:tc>
          <w:tcPr>
            <w:tcW w:w="126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216"/>
        </w:trPr>
        <w:tc>
          <w:tcPr>
            <w:tcW w:w="5400" w:type="dxa"/>
            <w:vAlign w:val="bottom"/>
          </w:tcPr>
          <w:p>
            <w:pPr>
              <w:spacing w:after="0"/>
              <w:rPr>
                <w:sz w:val="18"/>
                <w:szCs w:val="18"/>
                <w:color w:val="auto"/>
              </w:rPr>
            </w:pPr>
          </w:p>
        </w:tc>
        <w:tc>
          <w:tcPr>
            <w:tcW w:w="5840" w:type="dxa"/>
            <w:vAlign w:val="bottom"/>
            <w:gridSpan w:val="2"/>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Blockchain validation and verification equipment (“BVVE”)</w:t>
            </w:r>
          </w:p>
        </w:tc>
        <w:tc>
          <w:tcPr>
            <w:tcW w:w="58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  Sum of years, declining over 5 years</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Mineral assets *</w:t>
            </w:r>
          </w:p>
        </w:tc>
        <w:tc>
          <w:tcPr>
            <w:tcW w:w="5840" w:type="dxa"/>
            <w:vAlign w:val="bottom"/>
            <w:gridSpan w:val="2"/>
          </w:tcPr>
          <w:p>
            <w:pPr>
              <w:ind w:left="1000"/>
              <w:spacing w:after="0"/>
              <w:rPr>
                <w:sz w:val="20"/>
                <w:szCs w:val="20"/>
                <w:color w:val="auto"/>
              </w:rPr>
            </w:pPr>
            <w:r>
              <w:rPr>
                <w:rFonts w:ascii="Arial" w:cs="Arial" w:eastAsia="Arial" w:hAnsi="Arial"/>
                <w:sz w:val="18"/>
                <w:szCs w:val="18"/>
                <w:color w:val="auto"/>
              </w:rPr>
              <w:t>—  Units of production method</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Electrical equipment</w:t>
            </w:r>
          </w:p>
        </w:tc>
        <w:tc>
          <w:tcPr>
            <w:tcW w:w="58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  Sum of years, declining over 5 years</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4580" w:type="dxa"/>
            <w:vAlign w:val="bottom"/>
          </w:tcPr>
          <w:p>
            <w:pPr>
              <w:ind w:left="100"/>
              <w:spacing w:after="0"/>
              <w:rPr>
                <w:sz w:val="20"/>
                <w:szCs w:val="20"/>
                <w:color w:val="auto"/>
              </w:rPr>
            </w:pPr>
            <w:r>
              <w:rPr>
                <w:rFonts w:ascii="Arial" w:cs="Arial" w:eastAsia="Arial" w:hAnsi="Arial"/>
                <w:sz w:val="18"/>
                <w:szCs w:val="18"/>
                <w:color w:val="auto"/>
              </w:rPr>
              <w:t>See below</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Declining balance, 4%</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Vehicles</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4580" w:type="dxa"/>
            <w:vAlign w:val="bottom"/>
          </w:tcPr>
          <w:p>
            <w:pPr>
              <w:ind w:left="100"/>
              <w:spacing w:after="0"/>
              <w:rPr>
                <w:sz w:val="20"/>
                <w:szCs w:val="20"/>
                <w:color w:val="auto"/>
              </w:rPr>
            </w:pPr>
            <w:r>
              <w:rPr>
                <w:rFonts w:ascii="Arial" w:cs="Arial" w:eastAsia="Arial" w:hAnsi="Arial"/>
                <w:sz w:val="18"/>
                <w:szCs w:val="18"/>
                <w:color w:val="auto"/>
              </w:rPr>
              <w:t>Declining balance, 30%</w:t>
            </w:r>
          </w:p>
        </w:tc>
      </w:tr>
    </w:tbl>
    <w:p>
      <w:pPr>
        <w:spacing w:after="0" w:line="187"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Since the acquisition of mineral assets in 2018, there has been no production.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Leasehold improvements are depreciated on a straight-line basis over the shorter of the lease term (including the extension option held by the Company and intended to be exercised) and the expected life of the improvement.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useful life, depreciation method and residual value of an asset are reviewed at least each year-end and any changes are accounted for prospectively as a change in accounting estimate. Depreciation of an asset ceases at the earlier of the date that the asset is classified as held for sale and the date that the asset is derecognized.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w w:val="91"/>
              </w:rPr>
              <w:t>The sum of years depreciation method is calculated as follows: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2"/>
        </w:trPr>
        <w:tc>
          <w:tcPr>
            <w:tcW w:w="5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360" w:type="dxa"/>
            <w:vAlign w:val="bottom"/>
            <w:gridSpan w:val="2"/>
          </w:tcPr>
          <w:p>
            <w:pPr>
              <w:ind w:left="380"/>
              <w:spacing w:after="0"/>
              <w:rPr>
                <w:sz w:val="20"/>
                <w:szCs w:val="20"/>
                <w:color w:val="auto"/>
              </w:rPr>
            </w:pPr>
            <w:r>
              <w:rPr>
                <w:rFonts w:ascii="Arial" w:cs="Arial" w:eastAsia="Arial" w:hAnsi="Arial"/>
                <w:sz w:val="18"/>
                <w:szCs w:val="18"/>
                <w:b w:val="1"/>
                <w:bCs w:val="1"/>
                <w:color w:val="auto"/>
              </w:rPr>
              <w:t>Year 1</w:t>
            </w:r>
          </w:p>
        </w:tc>
        <w:tc>
          <w:tcPr>
            <w:tcW w:w="1360" w:type="dxa"/>
            <w:vAlign w:val="bottom"/>
            <w:gridSpan w:val="2"/>
          </w:tcPr>
          <w:p>
            <w:pPr>
              <w:ind w:left="380"/>
              <w:spacing w:after="0"/>
              <w:rPr>
                <w:sz w:val="20"/>
                <w:szCs w:val="20"/>
                <w:color w:val="auto"/>
              </w:rPr>
            </w:pPr>
            <w:r>
              <w:rPr>
                <w:rFonts w:ascii="Arial" w:cs="Arial" w:eastAsia="Arial" w:hAnsi="Arial"/>
                <w:sz w:val="18"/>
                <w:szCs w:val="18"/>
                <w:b w:val="1"/>
                <w:bCs w:val="1"/>
                <w:color w:val="auto"/>
              </w:rPr>
              <w:t>Year 2</w:t>
            </w:r>
          </w:p>
        </w:tc>
        <w:tc>
          <w:tcPr>
            <w:tcW w:w="1340" w:type="dxa"/>
            <w:vAlign w:val="bottom"/>
            <w:gridSpan w:val="2"/>
          </w:tcPr>
          <w:p>
            <w:pPr>
              <w:ind w:left="360"/>
              <w:spacing w:after="0"/>
              <w:rPr>
                <w:sz w:val="20"/>
                <w:szCs w:val="20"/>
                <w:color w:val="auto"/>
              </w:rPr>
            </w:pPr>
            <w:r>
              <w:rPr>
                <w:rFonts w:ascii="Arial" w:cs="Arial" w:eastAsia="Arial" w:hAnsi="Arial"/>
                <w:sz w:val="18"/>
                <w:szCs w:val="18"/>
                <w:b w:val="1"/>
                <w:bCs w:val="1"/>
                <w:color w:val="auto"/>
              </w:rPr>
              <w:t>Year 3</w:t>
            </w:r>
          </w:p>
        </w:tc>
        <w:tc>
          <w:tcPr>
            <w:tcW w:w="1340" w:type="dxa"/>
            <w:vAlign w:val="bottom"/>
            <w:gridSpan w:val="2"/>
          </w:tcPr>
          <w:p>
            <w:pPr>
              <w:ind w:left="360"/>
              <w:spacing w:after="0"/>
              <w:rPr>
                <w:sz w:val="20"/>
                <w:szCs w:val="20"/>
                <w:color w:val="auto"/>
              </w:rPr>
            </w:pPr>
            <w:r>
              <w:rPr>
                <w:rFonts w:ascii="Arial" w:cs="Arial" w:eastAsia="Arial" w:hAnsi="Arial"/>
                <w:sz w:val="18"/>
                <w:szCs w:val="18"/>
                <w:b w:val="1"/>
                <w:bCs w:val="1"/>
                <w:color w:val="auto"/>
              </w:rPr>
              <w:t>Year 4</w:t>
            </w:r>
          </w:p>
        </w:tc>
        <w:tc>
          <w:tcPr>
            <w:tcW w:w="1220" w:type="dxa"/>
            <w:vAlign w:val="bottom"/>
          </w:tcPr>
          <w:p>
            <w:pPr>
              <w:ind w:left="360"/>
              <w:spacing w:after="0"/>
              <w:rPr>
                <w:sz w:val="20"/>
                <w:szCs w:val="20"/>
                <w:color w:val="auto"/>
              </w:rPr>
            </w:pPr>
            <w:r>
              <w:rPr>
                <w:rFonts w:ascii="Arial" w:cs="Arial" w:eastAsia="Arial" w:hAnsi="Arial"/>
                <w:sz w:val="18"/>
                <w:szCs w:val="18"/>
                <w:b w:val="1"/>
                <w:bCs w:val="1"/>
                <w:color w:val="auto"/>
              </w:rPr>
              <w:t>Year 5</w:t>
            </w:r>
          </w:p>
        </w:tc>
      </w:tr>
      <w:tr>
        <w:trPr>
          <w:trHeight w:val="216"/>
        </w:trPr>
        <w:tc>
          <w:tcPr>
            <w:tcW w:w="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Rate</w:t>
            </w:r>
          </w:p>
        </w:tc>
        <w:tc>
          <w:tcPr>
            <w:tcW w:w="4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5/15</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4/15</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3/15</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2/15</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1/15</w:t>
            </w:r>
          </w:p>
        </w:tc>
      </w:tr>
      <w:tr>
        <w:trPr>
          <w:trHeight w:val="23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Percentage</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33.33%</w:t>
            </w:r>
          </w:p>
        </w:tc>
        <w:tc>
          <w:tcPr>
            <w:tcW w:w="120" w:type="dxa"/>
            <w:vAlign w:val="bottom"/>
          </w:tcPr>
          <w:p>
            <w:pPr>
              <w:spacing w:after="0"/>
              <w:rPr>
                <w:sz w:val="20"/>
                <w:szCs w:val="20"/>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26.67%</w:t>
            </w:r>
          </w:p>
        </w:tc>
        <w:tc>
          <w:tcPr>
            <w:tcW w:w="100" w:type="dxa"/>
            <w:vAlign w:val="bottom"/>
          </w:tcPr>
          <w:p>
            <w:pPr>
              <w:spacing w:after="0"/>
              <w:rPr>
                <w:sz w:val="20"/>
                <w:szCs w:val="20"/>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0"/>
                <w:szCs w:val="20"/>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13.33%</w:t>
            </w:r>
          </w:p>
        </w:tc>
        <w:tc>
          <w:tcPr>
            <w:tcW w:w="12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6.67%</w:t>
            </w:r>
          </w:p>
        </w:tc>
      </w:tr>
      <w:tr>
        <w:trPr>
          <w:trHeight w:val="414"/>
        </w:trPr>
        <w:tc>
          <w:tcPr>
            <w:tcW w:w="520" w:type="dxa"/>
            <w:vAlign w:val="bottom"/>
          </w:tcPr>
          <w:p>
            <w:pPr>
              <w:spacing w:after="0"/>
              <w:rPr>
                <w:sz w:val="20"/>
                <w:szCs w:val="20"/>
                <w:color w:val="auto"/>
              </w:rPr>
            </w:pPr>
            <w:r>
              <w:rPr>
                <w:rFonts w:ascii="Arial" w:cs="Arial" w:eastAsia="Arial" w:hAnsi="Arial"/>
                <w:sz w:val="18"/>
                <w:szCs w:val="18"/>
                <w:color w:val="auto"/>
              </w:rPr>
              <w:t>k.</w:t>
            </w:r>
          </w:p>
        </w:tc>
        <w:tc>
          <w:tcPr>
            <w:tcW w:w="4100" w:type="dxa"/>
            <w:vAlign w:val="bottom"/>
          </w:tcPr>
          <w:p>
            <w:pPr>
              <w:ind w:left="140"/>
              <w:spacing w:after="0"/>
              <w:rPr>
                <w:sz w:val="20"/>
                <w:szCs w:val="20"/>
                <w:color w:val="auto"/>
              </w:rPr>
            </w:pPr>
            <w:r>
              <w:rPr>
                <w:rFonts w:ascii="Arial" w:cs="Arial" w:eastAsia="Arial" w:hAnsi="Arial"/>
                <w:sz w:val="18"/>
                <w:szCs w:val="18"/>
                <w:color w:val="auto"/>
              </w:rPr>
              <w:t>Intangible assets: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Intangible assets acquired separately are initially measured at cost plus direct acquisition costs. Intangible assets acquired in business combinations are measured at their fair value as at the acquisition date.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Intangible assets with a finite useful life are amortized over their useful lives using the sum of years method and are reviewed for impairment whenever there is an indication that the asset may be impaired. The amortization period and the amortization method for an intangible asset are reviewed at least at each year end. Intangible assets consist of acquired software and a below market lease acquired in a business combination used in the Company’s cryptocurrency mining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1165860" cy="3086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BITFARMS LTD.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 (Cont.)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Intangible assets are amortized as follows:</w:t>
            </w:r>
          </w:p>
        </w:tc>
        <w:tc>
          <w:tcPr>
            <w:tcW w:w="2220" w:type="dxa"/>
            <w:vAlign w:val="bottom"/>
          </w:tcPr>
          <w:p>
            <w:pPr>
              <w:spacing w:after="0"/>
              <w:rPr>
                <w:sz w:val="20"/>
                <w:szCs w:val="20"/>
                <w:color w:val="auto"/>
              </w:rPr>
            </w:pPr>
          </w:p>
        </w:tc>
        <w:tc>
          <w:tcPr>
            <w:tcW w:w="4020" w:type="dxa"/>
            <w:vAlign w:val="bottom"/>
          </w:tcPr>
          <w:p>
            <w:pPr>
              <w:spacing w:after="0"/>
              <w:rPr>
                <w:sz w:val="20"/>
                <w:szCs w:val="20"/>
                <w:color w:val="auto"/>
              </w:rPr>
            </w:pPr>
          </w:p>
        </w:tc>
      </w:tr>
      <w:tr>
        <w:trPr>
          <w:trHeight w:val="216"/>
        </w:trPr>
        <w:tc>
          <w:tcPr>
            <w:tcW w:w="50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2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222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4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Sum of years, declining over 5 years</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Favourable lease</w:t>
            </w:r>
          </w:p>
        </w:tc>
        <w:tc>
          <w:tcPr>
            <w:tcW w:w="2220" w:type="dxa"/>
            <w:vAlign w:val="bottom"/>
          </w:tcPr>
          <w:p>
            <w:pPr>
              <w:ind w:left="1940"/>
              <w:spacing w:after="0"/>
              <w:rPr>
                <w:sz w:val="20"/>
                <w:szCs w:val="20"/>
                <w:color w:val="auto"/>
              </w:rPr>
            </w:pPr>
            <w:r>
              <w:rPr>
                <w:rFonts w:ascii="Arial" w:cs="Arial" w:eastAsia="Arial" w:hAnsi="Arial"/>
                <w:sz w:val="18"/>
                <w:szCs w:val="18"/>
                <w:color w:val="auto"/>
              </w:rPr>
              <w:t>—</w:t>
            </w:r>
          </w:p>
        </w:tc>
        <w:tc>
          <w:tcPr>
            <w:tcW w:w="4020" w:type="dxa"/>
            <w:vAlign w:val="bottom"/>
          </w:tcPr>
          <w:p>
            <w:pPr>
              <w:ind w:left="100"/>
              <w:spacing w:after="0"/>
              <w:rPr>
                <w:sz w:val="20"/>
                <w:szCs w:val="20"/>
                <w:color w:val="auto"/>
              </w:rPr>
            </w:pPr>
            <w:r>
              <w:rPr>
                <w:rFonts w:ascii="Arial" w:cs="Arial" w:eastAsia="Arial" w:hAnsi="Arial"/>
                <w:sz w:val="18"/>
                <w:szCs w:val="18"/>
                <w:color w:val="auto"/>
              </w:rPr>
              <w:t>See below</w:t>
            </w:r>
          </w:p>
        </w:tc>
      </w:tr>
      <w:tr>
        <w:trPr>
          <w:trHeight w:val="418"/>
        </w:trPr>
        <w:tc>
          <w:tcPr>
            <w:tcW w:w="5000" w:type="dxa"/>
            <w:vAlign w:val="bottom"/>
          </w:tcPr>
          <w:p>
            <w:pPr>
              <w:spacing w:after="0"/>
              <w:rPr>
                <w:sz w:val="20"/>
                <w:szCs w:val="20"/>
                <w:color w:val="auto"/>
              </w:rPr>
            </w:pPr>
            <w:r>
              <w:rPr>
                <w:rFonts w:ascii="Arial" w:cs="Arial" w:eastAsia="Arial" w:hAnsi="Arial"/>
                <w:sz w:val="18"/>
                <w:szCs w:val="18"/>
                <w:color w:val="auto"/>
              </w:rPr>
              <w:t>Software:</w:t>
            </w:r>
          </w:p>
        </w:tc>
        <w:tc>
          <w:tcPr>
            <w:tcW w:w="2220" w:type="dxa"/>
            <w:vAlign w:val="bottom"/>
          </w:tcPr>
          <w:p>
            <w:pPr>
              <w:spacing w:after="0"/>
              <w:rPr>
                <w:sz w:val="24"/>
                <w:szCs w:val="24"/>
                <w:color w:val="auto"/>
              </w:rPr>
            </w:pPr>
          </w:p>
        </w:tc>
        <w:tc>
          <w:tcPr>
            <w:tcW w:w="402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assets include computer systems comprised of hardware and software. Certain hardware comes pre-installed with firmware. Without this firmware, the hardware could not function and therefore both the hardware and firmware are classified within property plant and equipment. In contrast, stand-alone software that adds functionality to the hardware is classified as an intangible asset.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sum of years depreciation method for computer software is calculated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360" w:type="dxa"/>
            <w:vAlign w:val="bottom"/>
            <w:gridSpan w:val="2"/>
          </w:tcPr>
          <w:p>
            <w:pPr>
              <w:ind w:left="380"/>
              <w:spacing w:after="0"/>
              <w:rPr>
                <w:sz w:val="20"/>
                <w:szCs w:val="20"/>
                <w:color w:val="auto"/>
              </w:rPr>
            </w:pPr>
            <w:r>
              <w:rPr>
                <w:rFonts w:ascii="Arial" w:cs="Arial" w:eastAsia="Arial" w:hAnsi="Arial"/>
                <w:sz w:val="18"/>
                <w:szCs w:val="18"/>
                <w:b w:val="1"/>
                <w:bCs w:val="1"/>
                <w:color w:val="auto"/>
              </w:rPr>
              <w:t>Year 1</w:t>
            </w:r>
          </w:p>
        </w:tc>
        <w:tc>
          <w:tcPr>
            <w:tcW w:w="1360" w:type="dxa"/>
            <w:vAlign w:val="bottom"/>
            <w:gridSpan w:val="2"/>
          </w:tcPr>
          <w:p>
            <w:pPr>
              <w:ind w:left="380"/>
              <w:spacing w:after="0"/>
              <w:rPr>
                <w:sz w:val="20"/>
                <w:szCs w:val="20"/>
                <w:color w:val="auto"/>
              </w:rPr>
            </w:pPr>
            <w:r>
              <w:rPr>
                <w:rFonts w:ascii="Arial" w:cs="Arial" w:eastAsia="Arial" w:hAnsi="Arial"/>
                <w:sz w:val="18"/>
                <w:szCs w:val="18"/>
                <w:b w:val="1"/>
                <w:bCs w:val="1"/>
                <w:color w:val="auto"/>
              </w:rPr>
              <w:t>Year 2</w:t>
            </w:r>
          </w:p>
        </w:tc>
        <w:tc>
          <w:tcPr>
            <w:tcW w:w="1340" w:type="dxa"/>
            <w:vAlign w:val="bottom"/>
            <w:gridSpan w:val="2"/>
          </w:tcPr>
          <w:p>
            <w:pPr>
              <w:ind w:left="360"/>
              <w:spacing w:after="0"/>
              <w:rPr>
                <w:sz w:val="20"/>
                <w:szCs w:val="20"/>
                <w:color w:val="auto"/>
              </w:rPr>
            </w:pPr>
            <w:r>
              <w:rPr>
                <w:rFonts w:ascii="Arial" w:cs="Arial" w:eastAsia="Arial" w:hAnsi="Arial"/>
                <w:sz w:val="18"/>
                <w:szCs w:val="18"/>
                <w:b w:val="1"/>
                <w:bCs w:val="1"/>
                <w:color w:val="auto"/>
              </w:rPr>
              <w:t>Year 3</w:t>
            </w:r>
          </w:p>
        </w:tc>
        <w:tc>
          <w:tcPr>
            <w:tcW w:w="1340" w:type="dxa"/>
            <w:vAlign w:val="bottom"/>
            <w:gridSpan w:val="2"/>
          </w:tcPr>
          <w:p>
            <w:pPr>
              <w:ind w:left="360"/>
              <w:spacing w:after="0"/>
              <w:rPr>
                <w:sz w:val="20"/>
                <w:szCs w:val="20"/>
                <w:color w:val="auto"/>
              </w:rPr>
            </w:pPr>
            <w:r>
              <w:rPr>
                <w:rFonts w:ascii="Arial" w:cs="Arial" w:eastAsia="Arial" w:hAnsi="Arial"/>
                <w:sz w:val="18"/>
                <w:szCs w:val="18"/>
                <w:b w:val="1"/>
                <w:bCs w:val="1"/>
                <w:color w:val="auto"/>
              </w:rPr>
              <w:t>Year 4</w:t>
            </w:r>
          </w:p>
        </w:tc>
        <w:tc>
          <w:tcPr>
            <w:tcW w:w="1220" w:type="dxa"/>
            <w:vAlign w:val="bottom"/>
          </w:tcPr>
          <w:p>
            <w:pPr>
              <w:ind w:left="360"/>
              <w:spacing w:after="0"/>
              <w:rPr>
                <w:sz w:val="20"/>
                <w:szCs w:val="20"/>
                <w:color w:val="auto"/>
              </w:rPr>
            </w:pPr>
            <w:r>
              <w:rPr>
                <w:rFonts w:ascii="Arial" w:cs="Arial" w:eastAsia="Arial" w:hAnsi="Arial"/>
                <w:sz w:val="18"/>
                <w:szCs w:val="18"/>
                <w:b w:val="1"/>
                <w:bCs w:val="1"/>
                <w:color w:val="auto"/>
              </w:rPr>
              <w:t>Year 5</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Rate</w:t>
            </w:r>
          </w:p>
        </w:tc>
        <w:tc>
          <w:tcPr>
            <w:tcW w:w="124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5/15</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4/15</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3/15</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2/15</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1/15</w:t>
            </w:r>
          </w:p>
        </w:tc>
      </w:t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Percentage</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33.33%</w:t>
            </w:r>
          </w:p>
        </w:tc>
        <w:tc>
          <w:tcPr>
            <w:tcW w:w="120" w:type="dxa"/>
            <w:vAlign w:val="bottom"/>
          </w:tcPr>
          <w:p>
            <w:pPr>
              <w:spacing w:after="0"/>
              <w:rPr>
                <w:sz w:val="20"/>
                <w:szCs w:val="20"/>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26.67%</w:t>
            </w:r>
          </w:p>
        </w:tc>
        <w:tc>
          <w:tcPr>
            <w:tcW w:w="100" w:type="dxa"/>
            <w:vAlign w:val="bottom"/>
          </w:tcPr>
          <w:p>
            <w:pPr>
              <w:spacing w:after="0"/>
              <w:rPr>
                <w:sz w:val="20"/>
                <w:szCs w:val="20"/>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0"/>
                <w:szCs w:val="20"/>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13.33%</w:t>
            </w:r>
          </w:p>
        </w:tc>
        <w:tc>
          <w:tcPr>
            <w:tcW w:w="12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6.67%</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Favourable lease: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favourable lease acquired during the business acquisition described in Note 4 is depreciated on a straight-line basis over the the lease term.</w:t>
      </w:r>
    </w:p>
    <w:p>
      <w:pPr>
        <w:spacing w:after="0" w:line="237"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Impairment of non-financial assets: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evaluates the need to record an impairment of non-financial assets whenever events or changes in circumstances indicate that the carrying amount is not recoverable. If the carrying amount of non-financial assets exceeds their recoverable amount, the assets are reduced to their recoverable amount. The recoverable amount is the higher of fair value less costs of sale and value in use. In measuring value in use, the expected future cash flows are discounted using a pre-tax discount rate that reflects the risks specific to the asset. The recoverable amount of an asset that does not generate independent cash flows is determined for the CGU to which the asset belongs. Impairment losses are recognized in profit or loss.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 impairment loss of an asset, other than goodwill, is reversed only if there have been changes in the estimates used to determine the asset’s recoverable amount since the last impairment loss was recognized. Reversal of an impairment loss, as above, shall not be increased above the lower of the carrying amount that would have been determined (net of depreciation or amortization) had no impairment loss been recognized for the asset in prior years and its recoverable amount. The reversal of impairment loss of an asset presented at cost is recognized in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1165860" cy="3086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BITFARMS LTD.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 (Cont.)</w:t>
      </w:r>
    </w:p>
    <w:p>
      <w:pPr>
        <w:spacing w:after="0" w:line="229"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Financial instruments: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Financial assets: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Initial recognition and measurement:</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Financial assets are initially measured at fair value plus transaction costs that can be directly attributed to the acquisition of the financial asset, except in the case of a financial asset measured at fair value through profit or loss in respect of which transaction costs are charged to profit or loss. Subsequent measurement: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assets at amortized cost are subsequently measured using the effective interest rate (EIR) method and are subject to impairment. Gains and losses are recognized in profit or loss when the asset is derecognized, modified or impaired. The Company’s financial assets at amortized cost includes trade receivables and certain items included in other assets. Net changes in financial assets measured at fair value are recognized in the statement of profit or loss.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derivative embedded in a hybrid contract, with a financial liability or non-financial host, is separated from the host and accounted for as a separate derivative if: the economic characteristics and risks are not closely related to the host; a separate instrument with the same terms as the embedded derivative would meet the definition of a derivative; and the hybrid contract is not measured at fair value through profit or loss. Embedded derivatives are measured at fair value with changes in fair value recognized in profit or loss. This category includes the embedded derivative arising from the repayment terms of the Dominion loan described in Note 14. Reassessment only occurs if there is either a change in the terms of the contract that significantly modifies the cash flows that would otherwise be required or a reclassification of a financial asset out of the fair value through profit or loss category.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Impairment: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an allowance for expected credit losses (ECLs) for all debt instruments not held at fair value through profit or loss. ECLs are based on the difference between the contractual cash flows due in accordance with the contract and all the cash flows that the Company expects to receive, discounted at an approximation of the original effective interest rate. The expected cash flows will include cash flows from the sale of collateral held or other credit enhancements that are integral to the contractual terms.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trade receivables and contract assets, the Company applies a simplified approach in calculating ECLs. Therefore, the Company does not track changes in credit risk, but instead recognizes a loss allowance based on lifetime ECLs at each reporting date.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established a provision matrix that is based on its historical credit loss experience, adjusted for forward-looking factors specific to the debtors and the economic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1165860" cy="3086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BITFARMS LTD.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 (Cont.)</w:t>
      </w:r>
    </w:p>
    <w:p>
      <w:pPr>
        <w:spacing w:after="0" w:line="229" w:lineRule="exact"/>
        <w:rPr>
          <w:sz w:val="20"/>
          <w:szCs w:val="20"/>
          <w:color w:val="auto"/>
        </w:rPr>
      </w:pPr>
    </w:p>
    <w:p>
      <w:pPr>
        <w:ind w:right="8500" w:firstLine="656"/>
        <w:spacing w:after="0" w:line="563" w:lineRule="auto"/>
        <w:tabs>
          <w:tab w:leader="none" w:pos="1296" w:val="left"/>
        </w:tabs>
        <w:numPr>
          <w:ilvl w:val="0"/>
          <w:numId w:val="67"/>
        </w:numPr>
        <w:rPr>
          <w:rFonts w:ascii="Arial" w:cs="Arial" w:eastAsia="Arial" w:hAnsi="Arial"/>
          <w:sz w:val="16"/>
          <w:szCs w:val="16"/>
          <w:color w:val="auto"/>
        </w:rPr>
      </w:pPr>
      <w:r>
        <w:rPr>
          <w:rFonts w:ascii="Arial" w:cs="Arial" w:eastAsia="Arial" w:hAnsi="Arial"/>
          <w:sz w:val="16"/>
          <w:szCs w:val="16"/>
          <w:color w:val="auto"/>
        </w:rPr>
        <w:t>Financial liabilities: Initial recognition and measurement:</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liabilities are classified at initial recognition at fair value through profit or loss, loans and borrowings, payables, or as derivatives designated as hedging instruments in an effective hedge, as appropriate. All financial liabilities are recognized initially at fair value and, in the case of loans and borrowings and payables, net of directly attributable transaction costs. The Company’s financial liabilities include trade payables and accrued liabilities, credit facility and long-term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Subsequent measurement: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Financial liabilities are either measured at fair value through profit or loss or at amortized cost. Financial liabilities at fair value through profit or loss included a warrant liability, subject to the amendment of the warrant terms as described in Note 14 and the warrants issued in the private placements described in Note 18. After initial recognition, interest-bearing loans and borrowings are subsequently measured at amortized cost using the effective interest rate (EIR) method. Gains and losses are recognized in profit or loss when the liabilities are derecognized as well as through the EIR amortization process. Amortized cost is calculated by taking into account any discount or premium on acquisition and fees or costs that are an integral part of the EIR. The EIR amortization is included as financial expenses in the statement of profit or loss. This category generally applies to interest-bearing loans and borrowings.</w:t>
      </w:r>
    </w:p>
    <w:p>
      <w:pPr>
        <w:spacing w:after="0" w:line="195" w:lineRule="exact"/>
        <w:rPr>
          <w:sz w:val="20"/>
          <w:szCs w:val="20"/>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Derecognition of financial assets: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assets are derecognized when the contractual rights to receive the cash flows from the financial asset expire, or when the Company transfers the contractual rights to receive the cash flows from the financial asset or assumes an obligation to pay the cash flows received in full to a third party without significant delay.</w:t>
      </w:r>
    </w:p>
    <w:p>
      <w:pPr>
        <w:spacing w:after="0" w:line="184" w:lineRule="exact"/>
        <w:rPr>
          <w:sz w:val="20"/>
          <w:szCs w:val="20"/>
          <w:color w:val="auto"/>
        </w:rPr>
      </w:pPr>
    </w:p>
    <w:p>
      <w:pPr>
        <w:ind w:left="1300" w:hanging="644"/>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Derecognition of financial liabilities: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liabilities are derecognized when and only when they are extinguished - that is, when the obligation defined in the contract is fulfilled, cancelled or expires. A financial liability is fulfilled when the debtor repays the liability by paying cash; providing other financial assets, goods or services, or is otherwise legally released from the liability.</w:t>
      </w:r>
    </w:p>
    <w:p>
      <w:pPr>
        <w:spacing w:after="0" w:line="184"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Fair value measurement: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Fair value measurement is based on the assumption that the transaction will take place in the asset’s or the liability’s principal market, or in the absence of a principal market, in the most advantageous market. The fair value of an asset or a liability is measured using the assumptions that market participants would use when pricing the asset or liability, assuming that market participants act in their economic best interest.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valuation techniques that are appropriate in the circumstances and for which sufficient data are available to measure fair value, maximizing the use of relevant observable inputs and minimizing the use of unobservable inputs. Fair value measurement of non-financial assets takes into account the ability of a market participant to derive economic benefits from the asset through its best use, or by selling it to another market participant capable of using the asset to its best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1165860" cy="3086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89" w:name="page90"/>
    <w:bookmarkEnd w:id="89"/>
    <w:p>
      <w:pPr>
        <w:ind w:left="9860"/>
        <w:spacing w:after="0"/>
        <w:rPr>
          <w:sz w:val="20"/>
          <w:szCs w:val="20"/>
          <w:color w:val="auto"/>
        </w:rPr>
      </w:pPr>
      <w:r>
        <w:rPr>
          <w:rFonts w:ascii="Arial" w:cs="Arial" w:eastAsia="Arial" w:hAnsi="Arial"/>
          <w:sz w:val="17"/>
          <w:szCs w:val="17"/>
          <w:b w:val="1"/>
          <w:bCs w:val="1"/>
          <w:color w:val="auto"/>
        </w:rPr>
        <w:t>BITFARMS LTD.</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 (Cont.)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Assets and liabilities measured at fair value, or whose fair value is disclosed are classified into categories within the fair value hierarchy, based on the lowest level input that is significant to the overall fair value measurement:</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 Unadjusted quoted prices in an active market of identical assets and liabilities</w:t>
      </w:r>
    </w:p>
    <w:p>
      <w:pPr>
        <w:spacing w:after="0" w:line="2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 Non-quoted prices included in Level 1 that are either directly or indirectly observable</w:t>
      </w:r>
    </w:p>
    <w:p>
      <w:pPr>
        <w:spacing w:after="0" w:line="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 Data that is not based on observable market information, such as valuation techniques without the use of observable market data</w:t>
      </w:r>
    </w:p>
    <w:p>
      <w:pPr>
        <w:spacing w:after="0" w:line="211"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Provisions: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IAS 37, provisions represent liabilities to the Company for which the amount or timing is uncertain. Provisions are recognized when the Company has a present legal or constructive obligation as a result of past events, it is probable that an outflow of resources will be required to settle the obligations and the amounts can be reliably estimated. When the Company expects that part or all of the expense will be refunded, such as an insurance claim, the refund will be recognized as a separate asset only on the date when there is certainty of receiving the asset. The expense will be recognized in the statement of profit or loss net of the expected refund.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Asset retirement provisions: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provisions relate to Backbone’s legal obligation, in relation to its leased properties, to restore the properties to their original condition at the end of the lease period. The provisions are calculated at the present value of the expected costs to settle the obligations using estimated future cash flows discounted at a rate that reflects the risks specific to the obligations. Changes in the estimated future costs, or in the discount rate applied, are recorded as an adjustment of the cost of the related asset.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Lawsuits: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provision for legal claims against the Company is recorded when the Company has a present legal or constructive obligation as a result of past events, and that is more likely than not to be settled with an outflow of economic resources that can be measured reliably.</w:t>
      </w:r>
    </w:p>
    <w:p>
      <w:pPr>
        <w:spacing w:after="0" w:line="170"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Shared-based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employees of the Company are entitled to benefits by way of share-based payment settled with equity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Transactions settled with equity instruments: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cost of employee services paid in equity instruments is measured at the fair value of the equity instruments as at the grant date. The fair value is determined using a generally accepted option pricing model. Equity settled transactions with other services providers is measured at the fair value of the goods or services received in return for the equity instruments. The cost of equity-settled transactions is recognized in profit or loss together with a corresponding increase in contributed surplus during the period which the performance and/or service conditions are to be satisfied and ending on the date on which the relevant employees become entitled to the award (“the vesting period”). The cumulative expense recognized for equity-settled transactions at the end of each reporting period until the vesting date reflects the extent to which the vesting period has expired and management’s best estimate of the number of equity instruments that will ultimately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1165860" cy="3086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BITFARMS LTD.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 (Cont.)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related to grants that do not vest are not recognized, except for grants whose vesting is contingent on market conditions that are treated as vested regardless of these conditions, assuming all other vesting conditions (service and/or performance) were met.</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When the Company modifies the terms of equity-settled transactions, an additional expense is recognized, calculated as the increase in the fair value of the compensation granted in excess of the original expense, on the date of the modification. Cancellation of equity settlement that has not vested is treated as if it had vested on the date of cancellation, with the unrecognized expense recognized immediately. However, if the cancellation is subsequently replaced by a new agreement and is designated as an alternative settlement, then it is treated as a modification of the original agreement as described above.</w:t>
      </w:r>
    </w:p>
    <w:p>
      <w:pPr>
        <w:spacing w:after="0" w:line="157"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Earnings per share is calculated by dividing the net income attributable to the Company’s shareholders by the weighted average number of common shares outstanding during the period. Potential common shares are included in the calculation of diluted earnings per share if their effect dilutes earnings per share from continuing operations. Potential common shares that were converted during the period are included in diluted earnings per share only up to the conversion date, and from that date are included in basic earnings per share.</w:t>
      </w:r>
    </w:p>
    <w:p>
      <w:pPr>
        <w:spacing w:after="0" w:line="187"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Share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 capital represents the amount received on the issuance of shares, less issuance costs (net of tax).</w:t>
      </w:r>
    </w:p>
    <w:p>
      <w:pPr>
        <w:spacing w:after="0" w:line="225"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Employee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cost of short-term employee benefits is recognized in the period in which the services are rendered.</w:t>
      </w:r>
    </w:p>
    <w:p>
      <w:pPr>
        <w:spacing w:after="0" w:line="225"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Issue of a unit of securities: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issue of a unit of securities involves the allocation of the proceeds received before issue expenses to the securities issued in the unit based on the following order: financial derivatives and other financial instruments measured at fair value in each period. Then fair value is determined for financial liabilities that are measured at amortized cost. The proceeds allocated to equity instruments are determined to be the residual amount. Issue costs are allocated to each component pro rata to the amounts determined for each component in the unit.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SIGNIFICANT ACCOUNTING JUDGMENTS AND ESTIMATES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preparation of the consolidated financial statements requires management to undertake several judgments, estimates and assumptions about recognition and measurement of assets, liabilities, income and expenses. These estimates and judgments are based on management’s best knowledge of the events or circumstances and actions the Company may take in the future. The actual results may differ from these assumptions and estimates.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estimates and underlying assumptions are reviewed on an ongoing basis. Revisions to assumptions and estimates are recognized in the period in which the assumption or estimate is revised if the revision affects only that period, or in the period of the revision and future periods if the revision affects both current and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1165860" cy="3086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BITFARMS LTD.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SIGNIFICANT ACCOUNTING JUDGMENTS AND ESTIMATES (Cont.)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about the significant judgments, estimates and assumptions that have the most significant effect on the recognition and measurement of assets, liabilities, income and expenses are discussed below.</w:t>
      </w:r>
    </w:p>
    <w:p>
      <w:pPr>
        <w:spacing w:after="0" w:line="170"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Judgements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is currently no specific definitive guidance in IFRS or alternative accounting frameworks for accounting for the revenue recognition from cryptocurrency mining as well as subsequent measurement of cryptocurrency held. Management has determined that revenues should be recognized as the fair value of cryptocurrencies received in exchange for mining services on the date that cryptocurrencies are received and subsequently measured as an intangible asset. Management has exercised significant judgement in determining the appropriate accounting treatment. In the event authoritative guidance is issued by the IASB, the Company may be required to change its accounting policies, which could have a material effect on the Company’s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judgement in determining the lease term of contracts with renewal options: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determines the lease term as the non-cancellable term of the lease, together with any periods covered by an option to extend the lease if it is reasonably certain to be exercised, or any periods covered by an option to terminate the lease if it is reasonably certain not to be exercised. The Company has the option under some of its leases to lease the assets for additional terms of three to ten years. The Company applies judgement in evaluating whether it is reasonably certain to exercise the option to renew. That is, it considers all relevant factors that create an economic incentive for it to exercise the renewal.</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the commencement date, the Company reassesses the lease term if there is a significant event or change in circumstances that is within its control and affects its ability to exercise (or not to exercise) the option to renew (e.g., a change in business strategy). The Company included the renewal period as part of the lease term for leases of most farming facilities due to the significance of these assets to its operations. The Company has not included renewal periods for farming facilities beginning 10 years from the commencement of the lease.</w:t>
      </w:r>
    </w:p>
    <w:p>
      <w:pPr>
        <w:spacing w:after="0" w:line="187"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Estimates and assumptions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 and intangible assets: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Estimates of useful lives, residual values and methods of depreciation are reviewed annually. Any changes based on additional available information are accounted for prospectively as a change in accounting estimate.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property, plant and equipment and intangibles: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evaluates the need to record an impairment of non-financial assets whenever events or changes in circumstances indicate that the carrying amount is not recoverable. The recoverable amount is the higher of fair value less costs of sale and value in use. In measuring value in use, the expected future cash flows are discounted using a pre-tax discount rate that reflects the risks specific to the asset. The Company reviews the need for recording impairment of mineral assets, as detailed in Note 9d, for which purpose it engaged an independent external appraiser to assist in determining the value of the assets. The fair value was determined through use of the market approach, which includes analyzing similar and comparable mineral properties and making adjustments for differences between those properties and the subject among certain identifiable parameters.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1165860" cy="3086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BITFARMS LTD.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SIGNIFICANT ACCOUNTING JUDGMENTS AND ESTIMATES (Cont.)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Reversal of impairment of property, plant and equipment: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evaluates the need to reverse impairment of non-financial assets whenever events or changes in circumstances indicate that the previous impairment loss recognized may no longer exist or may have decreased. The impairment of non-financial assets except for goodwill is reversed up to the carrying amount of the non-financial assets that would have been determined, net of depreciation, had no impairment loss been recognized. Management exercised significant judgement in estimating the inputs used to determine the value in use of its property, plant and equipment and intangible assets.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fourth quarter of each year and when there is an indication that goodwill is impaired, the Company performs an annual test for goodwill impairment for each of its CGUs or group of CGUs to which goodwill is allocated. Management exercised significant judgement in estimating the inputs used to determine the value in use of its CGUs to which goodwill is allocated.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entered into a secured debt financing facility with Dominion Capital LLC consisting of four equal loan tranches in 2020. Upon the drawdown of each loan tranche, management exercised significant judgement in determining the effective interest rates and the fair market value of the warrants issued in connection with each tranche. Management also exercised significant judgement in determining the fair market value of the embedded derivative, which was derecognized in 2021. The key assumptions and methodologies used by management are described in Note 14.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BUSINESS COMBINATION</w:t>
      </w:r>
    </w:p>
    <w:p>
      <w:pPr>
        <w:spacing w:after="0" w:line="229" w:lineRule="exact"/>
        <w:rPr>
          <w:sz w:val="20"/>
          <w:szCs w:val="20"/>
          <w:color w:val="auto"/>
        </w:rPr>
      </w:pPr>
    </w:p>
    <w:p>
      <w:pPr>
        <w:jc w:val="both"/>
        <w:ind w:left="20" w:hanging="9"/>
        <w:spacing w:after="0" w:line="273" w:lineRule="auto"/>
        <w:rPr>
          <w:sz w:val="20"/>
          <w:szCs w:val="20"/>
          <w:color w:val="auto"/>
        </w:rPr>
      </w:pPr>
      <w:r>
        <w:rPr>
          <w:rFonts w:ascii="Arial" w:cs="Arial" w:eastAsia="Arial" w:hAnsi="Arial"/>
          <w:sz w:val="17"/>
          <w:szCs w:val="17"/>
          <w:color w:val="auto"/>
        </w:rPr>
        <w:t>On November 9, 2021, the Company acquired a cryptocurrency mining facility in Washington state through its wholly owned subsidiary, Backbone Mining Solutions LLC, comprising land, buildings, 17 megawatts of electrical infrastructure, power purchase agreements totaling 12 megawatts and in process power purchase agreement applications totaling 12 megawatts with a local hydro-electric utility producer. The consideration transferred was $26,676, including $23,000 of cash consideration and 414,508 Common shares with a value of $3,676 on the closing date. The seller entered into a consulting agreement with the Company in the amount of $2,000 for services relating to the operation of the facility. The Company also entered into a one-year lease agreement with the seller for a 5 megawatt cryptocurrency mining facility with monthly payments of $110.</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primary reason for the acquisition was to expand the Company’s energy portfolio with existing infrastructure to accommodate the Company’s expected delivery schedule of mining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1165860" cy="3086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BITFARMS LTD.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r>
      <w:tr>
        <w:trPr>
          <w:trHeight w:val="634"/>
        </w:trPr>
        <w:tc>
          <w:tcPr>
            <w:tcW w:w="10020" w:type="dxa"/>
            <w:vAlign w:val="bottom"/>
          </w:tcPr>
          <w:p>
            <w:pPr>
              <w:spacing w:after="0"/>
              <w:rPr>
                <w:sz w:val="20"/>
                <w:szCs w:val="20"/>
                <w:color w:val="auto"/>
              </w:rPr>
            </w:pPr>
            <w:r>
              <w:rPr>
                <w:rFonts w:ascii="Arial" w:cs="Arial" w:eastAsia="Arial" w:hAnsi="Arial"/>
                <w:sz w:val="18"/>
                <w:szCs w:val="18"/>
                <w:b w:val="1"/>
                <w:bCs w:val="1"/>
                <w:color w:val="auto"/>
              </w:rPr>
              <w:t>NOTE 4: BUSINESS COMBINATION (Cont.)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The following are the fair values of the identifiable assets of the date of the acquisition: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0020" w:type="dxa"/>
            <w:vAlign w:val="bottom"/>
          </w:tcPr>
          <w:p>
            <w:pPr>
              <w:spacing w:after="0"/>
              <w:rPr>
                <w:sz w:val="24"/>
                <w:szCs w:val="24"/>
                <w:color w:val="auto"/>
              </w:rPr>
            </w:pPr>
          </w:p>
        </w:tc>
        <w:tc>
          <w:tcPr>
            <w:tcW w:w="1220" w:type="dxa"/>
            <w:vAlign w:val="bottom"/>
            <w:gridSpan w:val="4"/>
          </w:tcPr>
          <w:p>
            <w:pPr>
              <w:ind w:left="60"/>
              <w:spacing w:after="0"/>
              <w:rPr>
                <w:sz w:val="20"/>
                <w:szCs w:val="20"/>
                <w:color w:val="auto"/>
              </w:rPr>
            </w:pPr>
            <w:r>
              <w:rPr>
                <w:rFonts w:ascii="Arial" w:cs="Arial" w:eastAsia="Arial" w:hAnsi="Arial"/>
                <w:sz w:val="18"/>
                <w:szCs w:val="18"/>
                <w:b w:val="1"/>
                <w:bCs w:val="1"/>
                <w:color w:val="auto"/>
              </w:rPr>
              <w:t>November 9,</w:t>
            </w:r>
          </w:p>
        </w:tc>
      </w:tr>
      <w:tr>
        <w:trPr>
          <w:trHeight w:val="263"/>
        </w:trPr>
        <w:tc>
          <w:tcPr>
            <w:tcW w:w="100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Consideration transferred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Cash paid at closing</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23,000</w:t>
            </w:r>
          </w:p>
        </w:tc>
        <w:tc>
          <w:tcPr>
            <w:tcW w:w="80" w:type="dxa"/>
            <w:vAlign w:val="bottom"/>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Value of 414,508 common shares transferred at closing</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3,676</w:t>
            </w:r>
          </w:p>
        </w:tc>
        <w:tc>
          <w:tcPr>
            <w:tcW w:w="80" w:type="dxa"/>
            <w:vAlign w:val="bottom"/>
          </w:tcPr>
          <w:p>
            <w:pPr>
              <w:spacing w:after="0"/>
              <w:rPr>
                <w:sz w:val="20"/>
                <w:szCs w:val="20"/>
                <w:color w:val="auto"/>
              </w:rPr>
            </w:pP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total consideration transferred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Recognized amounts of identifiable assets acquired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Electrical components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7,081</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755</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Land</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favorable lease</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1,800</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identifiable assets acquired</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9,721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10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16,955</w:t>
            </w:r>
          </w:p>
        </w:tc>
        <w:tc>
          <w:tcPr>
            <w:tcW w:w="8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Goodwill consists mainly of the benefit the Company expects to receive from acquiring a turnkey facility with active power purchase agreements compared to the timeline and process the Company would undertake to procure new power purchase agreements, the materials and equipment required to build a facility and complete the construction process. The entire amount of goodwill is expected to be deductible for tax purposes.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November 9, 2021 to December 31, 2021, the Company generated $7,690 of revenues mainly from using the S19j pros installed at the facility. Prior to the acquisition, the Company incurred hosting fees of $3,907.</w:t>
      </w:r>
    </w:p>
    <w:p>
      <w:pPr>
        <w:spacing w:after="0" w:line="170" w:lineRule="exact"/>
        <w:rPr>
          <w:sz w:val="20"/>
          <w:szCs w:val="20"/>
          <w:color w:val="auto"/>
        </w:rPr>
      </w:pPr>
    </w:p>
    <w:p>
      <w:pPr>
        <w:jc w:val="both"/>
        <w:ind w:left="20" w:hanging="9"/>
        <w:spacing w:after="0" w:line="255" w:lineRule="auto"/>
        <w:rPr>
          <w:sz w:val="20"/>
          <w:szCs w:val="20"/>
          <w:color w:val="auto"/>
        </w:rPr>
      </w:pPr>
      <w:r>
        <w:rPr>
          <w:rFonts w:ascii="Arial" w:cs="Arial" w:eastAsia="Arial" w:hAnsi="Arial"/>
          <w:sz w:val="18"/>
          <w:szCs w:val="18"/>
          <w:color w:val="auto"/>
        </w:rPr>
        <w:t>The purchase price allocation for acquisitions reflects fair value estimates which are subject to change within the measurement period. The primary areas of purchase price allocation that are subject to change relate to the fair values of certain tangible assets, based on their condition, and residual goodwill. Measurement period adjustments that the Company determines to be material will be applied retrospectively to the period of acquisition in the Company’s consolidated financial statements and, depending on the nature of the adjustments, other periods subsequent to the period of acquisition could also be affected. The Company expects to finalize the accounting for the acquisition in its interim condensed consolidated financial statements as at and for the three months ending March 31, 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5: CASH</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63"/>
        </w:trPr>
        <w:tc>
          <w:tcPr>
            <w:tcW w:w="86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2"/>
                <w:szCs w:val="2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in USD</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in USD held in trust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in CAD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2,670</w:t>
            </w: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Cash in ARS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952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TRADE RECEIVABLES</w:t>
      </w:r>
    </w:p>
    <w:p>
      <w:pPr>
        <w:spacing w:after="0" w:line="229" w:lineRule="exact"/>
        <w:rPr>
          <w:sz w:val="20"/>
          <w:szCs w:val="20"/>
          <w:color w:val="auto"/>
        </w:rPr>
      </w:pPr>
    </w:p>
    <w:p>
      <w:pPr>
        <w:jc w:val="both"/>
        <w:ind w:hanging="10"/>
        <w:spacing w:after="0" w:line="286" w:lineRule="auto"/>
        <w:rPr>
          <w:sz w:val="20"/>
          <w:szCs w:val="20"/>
          <w:color w:val="auto"/>
        </w:rPr>
      </w:pPr>
      <w:r>
        <w:rPr>
          <w:rFonts w:ascii="Arial" w:cs="Arial" w:eastAsia="Arial" w:hAnsi="Arial"/>
          <w:sz w:val="17"/>
          <w:szCs w:val="17"/>
          <w:color w:val="auto"/>
        </w:rPr>
        <w:t>A receivable represents the Company’s right to an amount of consideration that is unconditional (i.e., only the passage of time is required before payment of the consideration is due). Most trade receivables are derived from the sale of electrical components and services to external customers by the Company’s wholly owned subsidiary, Volta. Trade receivables are non-interest bearing and are generally on terms of 30 to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1165860" cy="3086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94" w:name="page95"/>
    <w:bookmarkEnd w:id="94"/>
    <w:p>
      <w:pPr>
        <w:ind w:left="9860"/>
        <w:spacing w:after="0"/>
        <w:rPr>
          <w:sz w:val="20"/>
          <w:szCs w:val="20"/>
          <w:color w:val="auto"/>
        </w:rPr>
      </w:pPr>
      <w:r>
        <w:rPr>
          <w:rFonts w:ascii="Arial" w:cs="Arial" w:eastAsia="Arial" w:hAnsi="Arial"/>
          <w:sz w:val="17"/>
          <w:szCs w:val="17"/>
          <w:b w:val="1"/>
          <w:bCs w:val="1"/>
          <w:color w:val="auto"/>
        </w:rPr>
        <w:t>BITFARMS LTD.</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TRADE RECEIVABLES (Cont.)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credit risk exposure of the Company’s trade receivables as of December 31, 2021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8"/>
                <w:szCs w:val="18"/>
                <w:b w:val="1"/>
                <w:bCs w:val="1"/>
                <w:color w:val="auto"/>
                <w:w w:val="94"/>
              </w:rPr>
              <w:t>Trade receivables aging</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9"/>
              </w:rPr>
              <w:t>Allowance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7"/>
              </w:rPr>
              <w:t>1-30 days</w:t>
            </w:r>
          </w:p>
        </w:tc>
        <w:tc>
          <w:tcPr>
            <w:tcW w:w="10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31 - 60 days</w:t>
            </w:r>
          </w:p>
        </w:tc>
        <w:tc>
          <w:tcPr>
            <w:tcW w:w="12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6"/>
              </w:rPr>
              <w:t>61 - 90 days</w:t>
            </w:r>
          </w:p>
        </w:tc>
        <w:tc>
          <w:tcPr>
            <w:tcW w:w="16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&gt;91 days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for ECL</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r>
      <w:tr>
        <w:trPr>
          <w:trHeight w:val="243"/>
        </w:trPr>
        <w:tc>
          <w:tcPr>
            <w:tcW w:w="32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Gross carrying amount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w:t>
            </w:r>
          </w:p>
        </w:tc>
      </w:tr>
      <w:tr>
        <w:trPr>
          <w:trHeight w:val="419"/>
        </w:trPr>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NOTE 7: OTHER ASSETS</w:t>
            </w: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27"/>
        </w:trPr>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32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Electrical component inventory</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Sales taxes receivable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1,980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r>
      <w:tr>
        <w:trPr>
          <w:trHeight w:val="237"/>
        </w:trPr>
        <w:tc>
          <w:tcPr>
            <w:tcW w:w="3460" w:type="dxa"/>
            <w:vAlign w:val="bottom"/>
            <w:gridSpan w:val="2"/>
          </w:tcPr>
          <w:p>
            <w:pPr>
              <w:spacing w:after="0"/>
              <w:rPr>
                <w:sz w:val="20"/>
                <w:szCs w:val="20"/>
                <w:color w:val="auto"/>
              </w:rPr>
            </w:pPr>
            <w:r>
              <w:rPr>
                <w:rFonts w:ascii="Arial" w:cs="Arial" w:eastAsia="Arial" w:hAnsi="Arial"/>
                <w:sz w:val="18"/>
                <w:szCs w:val="18"/>
                <w:color w:val="auto"/>
                <w:w w:val="89"/>
              </w:rPr>
              <w:t>Insurance refund (Note 9c) and other receivable</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697</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DIGITAL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Bitcoin transactions and the corresponding values for the years ended December 31, 2021, and 2020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8"/>
                <w:szCs w:val="18"/>
                <w:b w:val="1"/>
                <w:bCs w:val="1"/>
                <w:color w:val="auto"/>
                <w:w w:val="92"/>
              </w:rPr>
              <w:t>Year ended December 31,</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5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598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Quantity</w:t>
            </w:r>
          </w:p>
        </w:tc>
        <w:tc>
          <w:tcPr>
            <w:tcW w:w="14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Quantity</w:t>
            </w:r>
          </w:p>
        </w:tc>
        <w:tc>
          <w:tcPr>
            <w:tcW w:w="22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20"/>
                <w:szCs w:val="20"/>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Bitcoin mined*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3,453</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164,393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3,014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31,125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Bitcoin exchanged for cash and services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(27,467)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Bitcoin exchanged for long-term debt repayment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(1,546)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(373)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(3,586)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disposition of Bitcoin</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Prior period accounting policy change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Revaluation of digital assets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of digital assets as of December 31,</w:t>
            </w: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3,301</w:t>
            </w: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152,856</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ind w:left="920"/>
              <w:spacing w:after="0" w:line="203" w:lineRule="exact"/>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7"/>
                <w:szCs w:val="17"/>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Less digital assets pledged as collateral as of December 31,**</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(1,875)</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(86,825)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75"/>
        </w:trPr>
        <w:tc>
          <w:tcPr>
            <w:tcW w:w="59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9"/>
              </w:rPr>
              <w:t>Balance of digital assets excluding digital assets pledged as collateral as of</w:t>
            </w:r>
          </w:p>
        </w:tc>
        <w:tc>
          <w:tcPr>
            <w:tcW w:w="112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r>
      <w:tr>
        <w:trPr>
          <w:trHeight w:val="244"/>
        </w:trPr>
        <w:tc>
          <w:tcPr>
            <w:tcW w:w="5980" w:type="dxa"/>
            <w:vAlign w:val="bottom"/>
          </w:tcPr>
          <w:p>
            <w:pPr>
              <w:ind w:left="180"/>
              <w:spacing w:after="0"/>
              <w:rPr>
                <w:sz w:val="20"/>
                <w:szCs w:val="20"/>
                <w:color w:val="auto"/>
              </w:rPr>
            </w:pPr>
            <w:r>
              <w:rPr>
                <w:rFonts w:ascii="Arial" w:cs="Arial" w:eastAsia="Arial" w:hAnsi="Arial"/>
                <w:sz w:val="18"/>
                <w:szCs w:val="18"/>
                <w:color w:val="auto"/>
              </w:rPr>
              <w:t>December 31,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1,426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66,031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Management estimates the fair value of Bitcoin mined on a daily basis as the quantity of cryptocurrency received multiplied by the price quoted on www.coinmarketcap.com (“Coinmarketcap”) on the day it was received. Management considers the prices quoted on Coinmarketcap to be a level 2 input under IFRS 13 Fair Value Measurement.</w:t>
      </w:r>
    </w:p>
    <w:p>
      <w:pPr>
        <w:spacing w:after="0" w:line="18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See Note 13 for details of the Company’s credit facility and Bitcoin pledged as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165860" cy="3086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95" w:name="page96"/>
    <w:bookmarkEnd w:id="95"/>
    <w:p>
      <w:pPr>
        <w:ind w:left="9860"/>
        <w:spacing w:after="0"/>
        <w:rPr>
          <w:sz w:val="20"/>
          <w:szCs w:val="20"/>
          <w:color w:val="auto"/>
        </w:rPr>
      </w:pPr>
      <w:r>
        <w:rPr>
          <w:rFonts w:ascii="Arial" w:cs="Arial" w:eastAsia="Arial" w:hAnsi="Arial"/>
          <w:sz w:val="17"/>
          <w:szCs w:val="17"/>
          <w:b w:val="1"/>
          <w:bCs w:val="1"/>
          <w:color w:val="auto"/>
        </w:rPr>
        <w:t>BITFARMS LTD.</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PROPERTY, PLANT AND EQUIPMENT</w:t>
      </w:r>
    </w:p>
    <w:p>
      <w:pPr>
        <w:spacing w:after="0" w:line="229"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 at December 31, 2021, and December 31, 2020, property, plant and equipment consisted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BVVE and</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electrical</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Land and</w:t>
            </w: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Leasehold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components</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Mineral assets</w:t>
            </w:r>
          </w:p>
        </w:tc>
        <w:tc>
          <w:tcPr>
            <w:tcW w:w="16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buildings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improvements</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Vehicles</w:t>
            </w:r>
          </w:p>
        </w:tc>
        <w:tc>
          <w:tcPr>
            <w:tcW w:w="220" w:type="dxa"/>
            <w:vAlign w:val="bottom"/>
          </w:tcPr>
          <w:p>
            <w:pPr>
              <w:spacing w:after="0"/>
              <w:rPr>
                <w:sz w:val="20"/>
                <w:szCs w:val="20"/>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Cost:</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52,676</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Additions through business combination</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(Note 4)</w:t>
            </w: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7,081</w:t>
            </w:r>
          </w:p>
        </w:tc>
        <w:tc>
          <w:tcPr>
            <w:tcW w:w="4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7,921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Additions during the period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114,323</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118,194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Dispositions during the period</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(6,146)</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(6,396)</w:t>
            </w:r>
          </w:p>
        </w:tc>
        <w:tc>
          <w:tcPr>
            <w:tcW w:w="0" w:type="dxa"/>
            <w:vAlign w:val="bottom"/>
          </w:tcPr>
          <w:p>
            <w:pPr>
              <w:spacing w:after="0"/>
              <w:rPr>
                <w:sz w:val="1"/>
                <w:szCs w:val="1"/>
                <w:color w:val="auto"/>
              </w:rPr>
            </w:pPr>
          </w:p>
        </w:tc>
      </w:tr>
      <w:tr>
        <w:trPr>
          <w:trHeight w:val="25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Transfer to assets held for sale</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(11,287)</w:t>
            </w:r>
          </w:p>
        </w:tc>
        <w:tc>
          <w:tcPr>
            <w:tcW w:w="4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(11,287)</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Balance as of December 31, 2021</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156,647</w:t>
            </w:r>
          </w:p>
        </w:tc>
        <w:tc>
          <w:tcPr>
            <w:tcW w:w="26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9,000</w:t>
            </w:r>
          </w:p>
        </w:tc>
        <w:tc>
          <w:tcPr>
            <w:tcW w:w="2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4,549</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5,783</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547</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176,526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Balance as of January 1, 2020</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54,127</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9,000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2,721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2,415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381</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68,644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Additions during the period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9,548</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r>
              <w:rPr>
                <w:rFonts w:ascii="Arial" w:cs="Arial" w:eastAsia="Arial" w:hAnsi="Arial"/>
                <w:sz w:val="18"/>
                <w:szCs w:val="18"/>
                <w:color w:val="auto"/>
              </w:rPr>
              <w:t>Dispositions during the period</w:t>
            </w:r>
          </w:p>
        </w:tc>
        <w:tc>
          <w:tcPr>
            <w:tcW w:w="1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(10,999)</w:t>
            </w:r>
          </w:p>
        </w:tc>
        <w:tc>
          <w:tcPr>
            <w:tcW w:w="4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(11,026)</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68,094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Balance as of January 1, 2021</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30,042</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1,861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32,301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22,233</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Dispositions during the period</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(5,172)</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(5,351)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Transfer to assets held for sale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(10,026)</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(10,026)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Impairment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1,800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Impairment reversal</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(1,311)</w:t>
            </w:r>
          </w:p>
        </w:tc>
        <w:tc>
          <w:tcPr>
            <w:tcW w:w="4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Balance as of December 31, 2021</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35,766</w:t>
            </w:r>
          </w:p>
        </w:tc>
        <w:tc>
          <w:tcPr>
            <w:tcW w:w="26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1,800</w:t>
            </w:r>
          </w:p>
        </w:tc>
        <w:tc>
          <w:tcPr>
            <w:tcW w:w="2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286</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1,560</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264</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39,676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Balance as of January 1, 2020</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28,976</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1,641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30,870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9,762</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r>
              <w:rPr>
                <w:rFonts w:ascii="Arial" w:cs="Arial" w:eastAsia="Arial" w:hAnsi="Arial"/>
                <w:sz w:val="18"/>
                <w:szCs w:val="18"/>
                <w:color w:val="auto"/>
              </w:rPr>
              <w:t>Dispositions during the period</w:t>
            </w:r>
          </w:p>
        </w:tc>
        <w:tc>
          <w:tcPr>
            <w:tcW w:w="1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(8,696)</w:t>
            </w:r>
          </w:p>
        </w:tc>
        <w:tc>
          <w:tcPr>
            <w:tcW w:w="4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(8,717)</w:t>
            </w:r>
          </w:p>
        </w:tc>
        <w:tc>
          <w:tcPr>
            <w:tcW w:w="0" w:type="dxa"/>
            <w:vAlign w:val="bottom"/>
          </w:tcPr>
          <w:p>
            <w:pPr>
              <w:spacing w:after="0"/>
              <w:rPr>
                <w:sz w:val="1"/>
                <w:szCs w:val="1"/>
                <w:color w:val="auto"/>
              </w:rPr>
            </w:pPr>
          </w:p>
        </w:tc>
      </w:tr>
      <w:tr>
        <w:trPr>
          <w:trHeight w:val="236"/>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30,042</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line="203" w:lineRule="exact"/>
              <w:rPr>
                <w:sz w:val="20"/>
                <w:szCs w:val="20"/>
                <w:color w:val="auto"/>
              </w:rPr>
            </w:pPr>
            <w:r>
              <w:rPr>
                <w:rFonts w:ascii="Arial" w:cs="Arial" w:eastAsia="Arial" w:hAnsi="Arial"/>
                <w:sz w:val="18"/>
                <w:szCs w:val="18"/>
                <w:color w:val="auto"/>
              </w:rPr>
              <w:t>Net book value as of</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120,881</w:t>
            </w:r>
          </w:p>
        </w:tc>
        <w:tc>
          <w:tcPr>
            <w:tcW w:w="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7,200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4,263</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136,850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b w:val="1"/>
                <w:bCs w:val="1"/>
                <w:color w:val="auto"/>
              </w:rPr>
              <w:t>December 31, 2020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280" w:type="dxa"/>
            <w:vAlign w:val="bottom"/>
            <w:vMerge w:val="continue"/>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22,634</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9,000</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3,078</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846</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5"/>
        </w:trPr>
        <w:tc>
          <w:tcPr>
            <w:tcW w:w="3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1165860" cy="3086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BITFARMS LTD.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PROPERTY, PLANT AND EQUIPMENT (Cont.)</w:t>
      </w:r>
    </w:p>
    <w:p>
      <w:pPr>
        <w:spacing w:after="0" w:line="229"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Impairment reversal and assets held for sale</w:t>
      </w:r>
    </w:p>
    <w:p>
      <w:pPr>
        <w:spacing w:after="0" w:line="225" w:lineRule="exact"/>
        <w:rPr>
          <w:rFonts w:ascii="Arial" w:cs="Arial" w:eastAsia="Arial" w:hAnsi="Arial"/>
          <w:sz w:val="18"/>
          <w:szCs w:val="18"/>
          <w:color w:val="auto"/>
        </w:rPr>
      </w:pPr>
    </w:p>
    <w:p>
      <w:pPr>
        <w:jc w:val="both"/>
        <w:ind w:left="660"/>
        <w:spacing w:after="0" w:line="291" w:lineRule="auto"/>
        <w:rPr>
          <w:rFonts w:ascii="Arial" w:cs="Arial" w:eastAsia="Arial" w:hAnsi="Arial"/>
          <w:sz w:val="18"/>
          <w:szCs w:val="18"/>
          <w:color w:val="auto"/>
        </w:rPr>
      </w:pPr>
      <w:r>
        <w:rPr>
          <w:rFonts w:ascii="Arial" w:cs="Arial" w:eastAsia="Arial" w:hAnsi="Arial"/>
          <w:sz w:val="16"/>
          <w:szCs w:val="16"/>
          <w:color w:val="auto"/>
        </w:rPr>
        <w:t>During the year-ended December 31, 2018, the Company recorded an impairment loss on its cryptocurrency mining CGU which resulted in $16,465 of impairment being allocated to BVVE and electrical components and leasehold improvements due to a significant decline in the Bitcoin market price. As of December 31, 2021, the Company assessed whether there was an indication that the impairment loss recognized in 2018 may no longer exist or may have decreased, and concluded that there were observable indications that the CGU’s value had increased during the period. As a result, the Company’s management estimated the recoverable amount of the CGU, using a value in use calculation based on the present value of the expected cash flows over the estimated remaining useful life of the previously impaired CGU assets of approximately 1.5 years. Based on management’s calculations, an impairment reversal of $970 relating to the CGU was recognized during the period.</w:t>
      </w:r>
    </w:p>
    <w:p>
      <w:pPr>
        <w:spacing w:after="0" w:line="166" w:lineRule="exact"/>
        <w:rPr>
          <w:rFonts w:ascii="Arial" w:cs="Arial" w:eastAsia="Arial" w:hAnsi="Arial"/>
          <w:sz w:val="18"/>
          <w:szCs w:val="18"/>
          <w:color w:val="auto"/>
        </w:rPr>
      </w:pPr>
    </w:p>
    <w:p>
      <w:pPr>
        <w:jc w:val="both"/>
        <w:ind w:left="660" w:hanging="5"/>
        <w:spacing w:after="0" w:line="253" w:lineRule="auto"/>
        <w:rPr>
          <w:rFonts w:ascii="Arial" w:cs="Arial" w:eastAsia="Arial" w:hAnsi="Arial"/>
          <w:sz w:val="18"/>
          <w:szCs w:val="18"/>
          <w:color w:val="auto"/>
        </w:rPr>
      </w:pPr>
      <w:r>
        <w:rPr>
          <w:rFonts w:ascii="Arial" w:cs="Arial" w:eastAsia="Arial" w:hAnsi="Arial"/>
          <w:sz w:val="18"/>
          <w:szCs w:val="18"/>
          <w:color w:val="auto"/>
        </w:rPr>
        <w:t>The increased carrying amount of the CGU assets reflects the carrying amount of the CGU assets that would have been determined, net of depreciation, had no impairment loss been recognized in 2018. Mining assets outside of Quebec and Antminer S9 miners were not included in the CGU for the purposes of the impairment reversal calculation. The Company has ceased using the Antminer S9 miners and has plans to dispose of them within the next 12 months. Management has determined that the Antminer S9 miners meet the criteria to be classified as held for sale, and determined that the carrying amount, including the impairment recognized in 2018, was less than the estimated fair value less costs to sell. As a result, the Company recognized an impairment reversal of $890 relating to the impaired Antminer S9 miners held for sale, reflecting the carrying amount that would have been determined, net of depreciation, had no impairment loss been recognized in 2018. The total impairment reversal recognized during the period relating to the CGU assets and the assets held for sale totaled $1,860. The key assumptions used in the value in use calculation are as follows:</w:t>
      </w:r>
    </w:p>
    <w:p>
      <w:pPr>
        <w:spacing w:after="0" w:line="196" w:lineRule="exact"/>
        <w:rPr>
          <w:rFonts w:ascii="Arial" w:cs="Arial" w:eastAsia="Arial" w:hAnsi="Arial"/>
          <w:sz w:val="18"/>
          <w:szCs w:val="18"/>
          <w:color w:val="auto"/>
        </w:rPr>
      </w:pPr>
    </w:p>
    <w:p>
      <w:pPr>
        <w:jc w:val="both"/>
        <w:ind w:left="660" w:hanging="5"/>
        <w:spacing w:after="0" w:line="311" w:lineRule="auto"/>
        <w:rPr>
          <w:rFonts w:ascii="Arial" w:cs="Arial" w:eastAsia="Arial" w:hAnsi="Arial"/>
          <w:sz w:val="18"/>
          <w:szCs w:val="18"/>
          <w:color w:val="auto"/>
        </w:rPr>
      </w:pPr>
      <w:r>
        <w:rPr>
          <w:rFonts w:ascii="Arial" w:cs="Arial" w:eastAsia="Arial" w:hAnsi="Arial"/>
          <w:sz w:val="16"/>
          <w:szCs w:val="16"/>
          <w:u w:val="single" w:color="auto"/>
          <w:color w:val="auto"/>
        </w:rPr>
        <w:t>Revenues</w:t>
      </w:r>
      <w:r>
        <w:rPr>
          <w:rFonts w:ascii="Arial" w:cs="Arial" w:eastAsia="Arial" w:hAnsi="Arial"/>
          <w:sz w:val="16"/>
          <w:szCs w:val="16"/>
          <w:color w:val="auto"/>
        </w:rPr>
        <w:t xml:space="preserve"> – Two optimistic and two pessimistic scenarios and one status quo scenario, each with estimated future bitcoin price and network difficulty, were used to project revenues from cryptocurrency mining. Management assigned probabilities to each scenario to calculate weighted average expected outcomes. The weighted average daily revenue per Terahash used in the value in use calculation was $0.22/Terahash.</w:t>
      </w:r>
    </w:p>
    <w:p>
      <w:pPr>
        <w:spacing w:after="0" w:line="148" w:lineRule="exact"/>
        <w:rPr>
          <w:rFonts w:ascii="Arial" w:cs="Arial" w:eastAsia="Arial" w:hAnsi="Arial"/>
          <w:sz w:val="18"/>
          <w:szCs w:val="18"/>
          <w:color w:val="auto"/>
        </w:rPr>
      </w:pPr>
    </w:p>
    <w:p>
      <w:pPr>
        <w:jc w:val="both"/>
        <w:ind w:left="660" w:hanging="5"/>
        <w:spacing w:after="0" w:line="263" w:lineRule="auto"/>
        <w:rPr>
          <w:rFonts w:ascii="Arial" w:cs="Arial" w:eastAsia="Arial" w:hAnsi="Arial"/>
          <w:sz w:val="18"/>
          <w:szCs w:val="18"/>
          <w:color w:val="auto"/>
        </w:rPr>
      </w:pPr>
      <w:r>
        <w:rPr>
          <w:rFonts w:ascii="Arial" w:cs="Arial" w:eastAsia="Arial" w:hAnsi="Arial"/>
          <w:sz w:val="18"/>
          <w:szCs w:val="18"/>
          <w:u w:val="single" w:color="auto"/>
          <w:color w:val="auto"/>
        </w:rPr>
        <w:t>Discount rate</w:t>
      </w:r>
      <w:r>
        <w:rPr>
          <w:rFonts w:ascii="Arial" w:cs="Arial" w:eastAsia="Arial" w:hAnsi="Arial"/>
          <w:sz w:val="18"/>
          <w:szCs w:val="18"/>
          <w:color w:val="auto"/>
        </w:rPr>
        <w:t xml:space="preserve"> – the discount rate reflects management’s assumptions regarding the unit’s specific risk. The discount rate used was estimated at 18.3%, with some of the risk already being implicitly reflected through management’s allocation of probabilities to the various scenarios included in the revenue calculation.</w:t>
      </w:r>
    </w:p>
    <w:p>
      <w:pPr>
        <w:spacing w:after="0" w:line="183" w:lineRule="exact"/>
        <w:rPr>
          <w:rFonts w:ascii="Arial" w:cs="Arial" w:eastAsia="Arial" w:hAnsi="Arial"/>
          <w:sz w:val="18"/>
          <w:szCs w:val="18"/>
          <w:color w:val="auto"/>
        </w:rPr>
      </w:pPr>
    </w:p>
    <w:p>
      <w:pPr>
        <w:ind w:left="660" w:hanging="5"/>
        <w:spacing w:after="0" w:line="277" w:lineRule="auto"/>
        <w:rPr>
          <w:rFonts w:ascii="Arial" w:cs="Arial" w:eastAsia="Arial" w:hAnsi="Arial"/>
          <w:sz w:val="18"/>
          <w:szCs w:val="18"/>
          <w:color w:val="auto"/>
        </w:rPr>
      </w:pPr>
      <w:r>
        <w:rPr>
          <w:rFonts w:ascii="Arial" w:cs="Arial" w:eastAsia="Arial" w:hAnsi="Arial"/>
          <w:sz w:val="18"/>
          <w:szCs w:val="18"/>
          <w:u w:val="single" w:color="auto"/>
          <w:color w:val="auto"/>
        </w:rPr>
        <w:t>Energy prices</w:t>
      </w:r>
      <w:r>
        <w:rPr>
          <w:rFonts w:ascii="Arial" w:cs="Arial" w:eastAsia="Arial" w:hAnsi="Arial"/>
          <w:sz w:val="18"/>
          <w:szCs w:val="18"/>
          <w:color w:val="auto"/>
        </w:rPr>
        <w:t xml:space="preserve"> – management estimated that energy prices would remain constant for the duration of the forecasted years at $0.04 per kilowatt hour in Quebec.</w:t>
      </w:r>
    </w:p>
    <w:p>
      <w:pPr>
        <w:spacing w:after="0" w:line="170" w:lineRule="exact"/>
        <w:rPr>
          <w:rFonts w:ascii="Arial" w:cs="Arial" w:eastAsia="Arial" w:hAnsi="Arial"/>
          <w:sz w:val="18"/>
          <w:szCs w:val="18"/>
          <w:color w:val="auto"/>
        </w:rPr>
      </w:pPr>
    </w:p>
    <w:p>
      <w:pPr>
        <w:ind w:left="660" w:hanging="5"/>
        <w:spacing w:after="0" w:line="342" w:lineRule="auto"/>
        <w:rPr>
          <w:rFonts w:ascii="Arial" w:cs="Arial" w:eastAsia="Arial" w:hAnsi="Arial"/>
          <w:sz w:val="18"/>
          <w:szCs w:val="18"/>
          <w:color w:val="auto"/>
        </w:rPr>
      </w:pPr>
      <w:r>
        <w:rPr>
          <w:rFonts w:ascii="Arial" w:cs="Arial" w:eastAsia="Arial" w:hAnsi="Arial"/>
          <w:sz w:val="16"/>
          <w:szCs w:val="16"/>
          <w:u w:val="single" w:color="auto"/>
          <w:color w:val="auto"/>
        </w:rPr>
        <w:t>Terminal value</w:t>
      </w:r>
      <w:r>
        <w:rPr>
          <w:rFonts w:ascii="Arial" w:cs="Arial" w:eastAsia="Arial" w:hAnsi="Arial"/>
          <w:sz w:val="16"/>
          <w:szCs w:val="16"/>
          <w:color w:val="auto"/>
        </w:rPr>
        <w:t xml:space="preserve"> – management estimated the terminal value of the miners included in the CGU for the purposes of the impairment reversal to be the daily revenue per Terahash in effect at the end of the value in use calculation multiplied by the ending hashrate, multiplied by 180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1165860" cy="3086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BITFARMS LTD.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PROPERTY, PLANT AND EQUIPMENT (Cont.)</w:t>
      </w:r>
    </w:p>
    <w:p>
      <w:pPr>
        <w:spacing w:after="0" w:line="229"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Further details of the quantity and models of BVVE held by the Company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MicroBT</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Innosilicon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Canaan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Bitmain</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Whatsminer</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Bitmain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T3 &amp; T2T</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Avalon A10</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Antminers</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328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(BTC)*</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S19j Pro</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(BTC)**</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(BTC)</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(BTC)***</w:t>
            </w:r>
          </w:p>
        </w:tc>
        <w:tc>
          <w:tcPr>
            <w:tcW w:w="12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Quantity as of January 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8,394</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Additions during the period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10,397</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7,172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17,569</w:t>
            </w:r>
          </w:p>
        </w:tc>
        <w:tc>
          <w:tcPr>
            <w:tcW w:w="80" w:type="dxa"/>
            <w:vAlign w:val="bottom"/>
          </w:tcPr>
          <w:p>
            <w:pPr>
              <w:spacing w:after="0"/>
              <w:rPr>
                <w:sz w:val="18"/>
                <w:szCs w:val="18"/>
                <w:color w:val="auto"/>
              </w:rPr>
            </w:pPr>
          </w:p>
        </w:tc>
      </w:tr>
      <w:tr>
        <w:trPr>
          <w:trHeight w:val="24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Dispositions during the period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(3,171)</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(3,287)</w:t>
            </w:r>
          </w:p>
        </w:tc>
      </w:tr>
      <w:tr>
        <w:trPr>
          <w:trHeight w:val="210"/>
        </w:trPr>
        <w:tc>
          <w:tcPr>
            <w:tcW w:w="32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Quantity as of December 31, 2021</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18,675</w:t>
            </w: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7,172</w:t>
            </w: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6,446</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1,024</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8,073</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41,390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4,311 M20S, 2,062 M30S, 6,391 M31S and 5,911 M31S+ miners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Includes 5,082 T3 and 1,364 T2T miners</w:t>
      </w:r>
    </w:p>
    <w:p>
      <w:pPr>
        <w:spacing w:after="0" w:line="225" w:lineRule="exact"/>
        <w:rPr>
          <w:sz w:val="20"/>
          <w:szCs w:val="20"/>
          <w:color w:val="auto"/>
        </w:rPr>
      </w:pPr>
    </w:p>
    <w:p>
      <w:pPr>
        <w:ind w:left="660" w:hanging="652"/>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1,645 Antminer T15 and 368 Antminer S15, and 6,060 Antminer S9 miners that were classified as assets held for sale as described in Note 9b.</w:t>
      </w:r>
    </w:p>
    <w:p>
      <w:pPr>
        <w:spacing w:after="0" w:line="170" w:lineRule="exact"/>
        <w:rPr>
          <w:rFonts w:ascii="Arial" w:cs="Arial" w:eastAsia="Arial" w:hAnsi="Arial"/>
          <w:sz w:val="18"/>
          <w:szCs w:val="18"/>
          <w:color w:val="auto"/>
        </w:rPr>
      </w:pPr>
    </w:p>
    <w:p>
      <w:pPr>
        <w:ind w:left="660" w:hanging="5"/>
        <w:spacing w:after="0" w:line="277" w:lineRule="auto"/>
        <w:rPr>
          <w:rFonts w:ascii="Arial" w:cs="Arial" w:eastAsia="Arial" w:hAnsi="Arial"/>
          <w:sz w:val="18"/>
          <w:szCs w:val="18"/>
          <w:color w:val="auto"/>
        </w:rPr>
      </w:pPr>
      <w:r>
        <w:rPr>
          <w:rFonts w:ascii="Arial" w:cs="Arial" w:eastAsia="Arial" w:hAnsi="Arial"/>
          <w:sz w:val="18"/>
          <w:szCs w:val="18"/>
          <w:color w:val="auto"/>
        </w:rPr>
        <w:t>Included in the BVVE and electrical equipment listed above are right-of-use assets consisting of 3,000 Whatsminer M31S+ with a net book value of approximately $5,422 as described in Note 15.</w:t>
      </w:r>
    </w:p>
    <w:p>
      <w:pPr>
        <w:spacing w:after="0" w:line="170" w:lineRule="exact"/>
        <w:rPr>
          <w:rFonts w:ascii="Arial" w:cs="Arial" w:eastAsia="Arial" w:hAnsi="Arial"/>
          <w:sz w:val="18"/>
          <w:szCs w:val="18"/>
          <w:color w:val="auto"/>
        </w:rPr>
      </w:pPr>
    </w:p>
    <w:p>
      <w:pPr>
        <w:jc w:val="both"/>
        <w:ind w:left="660" w:hanging="5"/>
        <w:spacing w:after="0" w:line="257" w:lineRule="auto"/>
        <w:rPr>
          <w:rFonts w:ascii="Arial" w:cs="Arial" w:eastAsia="Arial" w:hAnsi="Arial"/>
          <w:sz w:val="18"/>
          <w:szCs w:val="18"/>
          <w:color w:val="auto"/>
        </w:rPr>
      </w:pPr>
      <w:r>
        <w:rPr>
          <w:rFonts w:ascii="Arial" w:cs="Arial" w:eastAsia="Arial" w:hAnsi="Arial"/>
          <w:sz w:val="18"/>
          <w:szCs w:val="18"/>
          <w:color w:val="auto"/>
        </w:rPr>
        <w:t>During the year ended December 31, 2021, 116 M31S miners with a carrying value of $780 suffered fire damage and could not be repaired. The miners were derecognized as a loss on disposal of property, plant and equipment. The Company submitted an insurance claim for the irreparable miners during the year-ended December 31, 2021. In January 2022, the Company received a reimbursement from its insurer in the amount of $685. The reimbursement was accrued as other assets as of December 31, 2021 and recorded as a reduction of the loss on disposal of property, plant and equipment described above.</w:t>
      </w:r>
    </w:p>
    <w:p>
      <w:pPr>
        <w:spacing w:after="0" w:line="188" w:lineRule="exact"/>
        <w:rPr>
          <w:sz w:val="20"/>
          <w:szCs w:val="20"/>
          <w:color w:val="auto"/>
        </w:rPr>
      </w:pPr>
    </w:p>
    <w:p>
      <w:pPr>
        <w:jc w:val="both"/>
        <w:ind w:left="660" w:hanging="652"/>
        <w:spacing w:after="0" w:line="269" w:lineRule="auto"/>
        <w:tabs>
          <w:tab w:leader="none" w:pos="6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 connection with the reverse acquisition of Bitfarms Ltd (Israel), the Company engaged an independent appraiser to determine the fair value as at the acquisition date, April 12, 2018 of Suni, an iron ore deposit located in Canada, held by the acquiree. The appraiser’s valuation report was based on the comparison method and the analysis of similar assets. Following certain adjustments resulting from changes in the price of iron ore, among other variables, Suni’s value at April 12, 2018 was estimated at $9,000. The independent appraiser was engaged also to determine Suni’s fair value as at December 31, 2021 and 2020. Using the same valuation techniques, the appraiser determined that the value of Suni was $7,700 on December 31, 2021, or $7,200 reflecting estimated costs to sell, compared to $9,000 on December 31, 2020 which resulted in impairment of $1,800 to Suni’s value. The fair value measurement is categorized as level 2 in the fair value hierarchy. The Company also holds interests in three additional mineral properties: Hidden Lake gold mine, Victorine Gold mine and Pembroke silver mine. It is management’s view that these three mines are unlikely to be of significant value and as a result they were not reflected in the purchase price allocation of the reverse acquisition. The above-mentioned mineral assets, including Suni, were inactive during the reporting periods and as of the date of approval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1165860" cy="3086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BITFARMS LTD.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NOTE 10: INTANGIBLE 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4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Systems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Favourable</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1"/>
        </w:trPr>
        <w:tc>
          <w:tcPr>
            <w:tcW w:w="34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software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79"/>
              </w:rPr>
              <w:t>lease</w:t>
            </w:r>
          </w:p>
        </w:tc>
        <w:tc>
          <w:tcPr>
            <w:tcW w:w="220" w:type="dxa"/>
            <w:vAlign w:val="bottom"/>
          </w:tcPr>
          <w:p>
            <w:pPr>
              <w:spacing w:after="0"/>
              <w:rPr>
                <w:sz w:val="20"/>
                <w:szCs w:val="20"/>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5,150</w:t>
            </w:r>
          </w:p>
        </w:tc>
        <w:tc>
          <w:tcPr>
            <w:tcW w:w="80" w:type="dxa"/>
            <w:vAlign w:val="bottom"/>
            <w:shd w:val="clear" w:color="auto" w:fill="CCEEFF"/>
          </w:tcPr>
          <w:p>
            <w:pPr>
              <w:spacing w:after="0"/>
              <w:rPr>
                <w:sz w:val="18"/>
                <w:szCs w:val="18"/>
                <w:color w:val="auto"/>
              </w:rPr>
            </w:pPr>
          </w:p>
        </w:tc>
      </w:tr>
      <w:tr>
        <w:trPr>
          <w:trHeight w:val="237"/>
        </w:trPr>
        <w:tc>
          <w:tcPr>
            <w:tcW w:w="7320" w:type="dxa"/>
            <w:vAlign w:val="bottom"/>
            <w:gridSpan w:val="2"/>
          </w:tcPr>
          <w:p>
            <w:pPr>
              <w:spacing w:after="0"/>
              <w:rPr>
                <w:sz w:val="20"/>
                <w:szCs w:val="20"/>
                <w:color w:val="auto"/>
              </w:rPr>
            </w:pPr>
            <w:r>
              <w:rPr>
                <w:rFonts w:ascii="Arial" w:cs="Arial" w:eastAsia="Arial" w:hAnsi="Arial"/>
                <w:sz w:val="18"/>
                <w:szCs w:val="18"/>
                <w:color w:val="auto"/>
              </w:rPr>
              <w:t>Additions through business combination (Note 4)</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1,800</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1,800</w:t>
            </w:r>
          </w:p>
        </w:tc>
        <w:tc>
          <w:tcPr>
            <w:tcW w:w="80" w:type="dxa"/>
            <w:vAlign w:val="bottom"/>
          </w:tcPr>
          <w:p>
            <w:pPr>
              <w:spacing w:after="0"/>
              <w:rPr>
                <w:sz w:val="20"/>
                <w:szCs w:val="20"/>
                <w:color w:val="auto"/>
              </w:rPr>
            </w:pPr>
          </w:p>
        </w:tc>
      </w:tr>
      <w:tr>
        <w:trPr>
          <w:trHeight w:val="216"/>
        </w:trPr>
        <w:tc>
          <w:tcPr>
            <w:tcW w:w="7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2021</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5,088</w:t>
            </w:r>
          </w:p>
        </w:tc>
        <w:tc>
          <w:tcPr>
            <w:tcW w:w="80" w:type="dxa"/>
            <w:vAlign w:val="bottom"/>
            <w:shd w:val="clear" w:color="auto" w:fill="CCEEFF"/>
          </w:tcPr>
          <w:p>
            <w:pPr>
              <w:spacing w:after="0"/>
              <w:rPr>
                <w:sz w:val="18"/>
                <w:szCs w:val="18"/>
                <w:color w:val="auto"/>
              </w:rPr>
            </w:pPr>
          </w:p>
        </w:tc>
      </w:tr>
      <w:tr>
        <w:trPr>
          <w:trHeight w:val="237"/>
        </w:trPr>
        <w:tc>
          <w:tcPr>
            <w:tcW w:w="73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0"/>
                <w:szCs w:val="20"/>
                <w:color w:val="auto"/>
              </w:rPr>
            </w:pPr>
          </w:p>
        </w:tc>
      </w:tr>
      <w:tr>
        <w:trPr>
          <w:trHeight w:val="216"/>
        </w:trPr>
        <w:tc>
          <w:tcPr>
            <w:tcW w:w="7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3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1"/>
              </w:rPr>
              <w:t>Accumulated amortization and impairment :</w:t>
            </w:r>
          </w:p>
        </w:tc>
        <w:tc>
          <w:tcPr>
            <w:tcW w:w="38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Balance as of January 1, 2021</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4,773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4,773</w:t>
            </w:r>
          </w:p>
        </w:tc>
        <w:tc>
          <w:tcPr>
            <w:tcW w:w="80" w:type="dxa"/>
            <w:vAlign w:val="bottom"/>
          </w:tcPr>
          <w:p>
            <w:pPr>
              <w:spacing w:after="0"/>
              <w:rPr>
                <w:sz w:val="18"/>
                <w:szCs w:val="18"/>
                <w:color w:val="auto"/>
              </w:rPr>
            </w:pPr>
          </w:p>
        </w:tc>
      </w:tr>
      <w:tr>
        <w:trPr>
          <w:trHeight w:val="249"/>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w:t>
            </w:r>
          </w:p>
        </w:tc>
        <w:tc>
          <w:tcPr>
            <w:tcW w:w="80" w:type="dxa"/>
            <w:vAlign w:val="bottom"/>
            <w:shd w:val="clear" w:color="auto" w:fill="CCEEFF"/>
          </w:tcPr>
          <w:p>
            <w:pPr>
              <w:spacing w:after="0"/>
              <w:rPr>
                <w:sz w:val="21"/>
                <w:szCs w:val="21"/>
                <w:color w:val="auto"/>
              </w:rPr>
            </w:pPr>
          </w:p>
        </w:tc>
      </w:tr>
      <w:tr>
        <w:trPr>
          <w:trHeight w:val="203"/>
        </w:trPr>
        <w:tc>
          <w:tcPr>
            <w:tcW w:w="732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b w:val="1"/>
                <w:bCs w:val="1"/>
                <w:color w:val="auto"/>
              </w:rPr>
              <w:t>Balance as of December 31, 2021</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5,008</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261</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5,269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346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Balance as of January 1, 2020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4,422</w:t>
            </w:r>
          </w:p>
        </w:tc>
        <w:tc>
          <w:tcPr>
            <w:tcW w:w="80" w:type="dxa"/>
            <w:vAlign w:val="bottom"/>
          </w:tcPr>
          <w:p>
            <w:pPr>
              <w:spacing w:after="0"/>
              <w:rPr>
                <w:sz w:val="18"/>
                <w:szCs w:val="18"/>
                <w:color w:val="auto"/>
              </w:rPr>
            </w:pPr>
          </w:p>
        </w:tc>
      </w:tr>
      <w:tr>
        <w:trPr>
          <w:trHeight w:val="250"/>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21"/>
                <w:szCs w:val="21"/>
                <w:color w:val="auto"/>
              </w:rPr>
            </w:pPr>
          </w:p>
        </w:tc>
      </w:tr>
      <w:tr>
        <w:trPr>
          <w:trHeight w:val="203"/>
        </w:trPr>
        <w:tc>
          <w:tcPr>
            <w:tcW w:w="732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b w:val="1"/>
                <w:bCs w:val="1"/>
                <w:color w:val="auto"/>
              </w:rPr>
              <w:t>Balance as of December 31, 2020</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4,773</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4,773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book value as of</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304"/>
        </w:trPr>
        <w:tc>
          <w:tcPr>
            <w:tcW w:w="732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1,539</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1,681</w:t>
            </w:r>
          </w:p>
        </w:tc>
        <w:tc>
          <w:tcPr>
            <w:tcW w:w="80" w:type="dxa"/>
            <w:vAlign w:val="bottom"/>
          </w:tcPr>
          <w:p>
            <w:pPr>
              <w:spacing w:after="0"/>
              <w:rPr>
                <w:sz w:val="24"/>
                <w:szCs w:val="24"/>
                <w:color w:val="auto"/>
              </w:rPr>
            </w:pPr>
          </w:p>
        </w:tc>
      </w:tr>
      <w:tr>
        <w:trPr>
          <w:trHeight w:val="223"/>
        </w:trPr>
        <w:tc>
          <w:tcPr>
            <w:tcW w:w="7320" w:type="dxa"/>
            <w:vAlign w:val="bottom"/>
            <w:tcBorders>
              <w:top w:val="single" w:sz="8" w:color="CCEEFF"/>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December 31,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432"/>
        </w:trPr>
        <w:tc>
          <w:tcPr>
            <w:tcW w:w="8680" w:type="dxa"/>
            <w:vAlign w:val="bottom"/>
            <w:gridSpan w:val="5"/>
          </w:tcPr>
          <w:p>
            <w:pPr>
              <w:spacing w:after="0"/>
              <w:rPr>
                <w:sz w:val="20"/>
                <w:szCs w:val="20"/>
                <w:color w:val="auto"/>
              </w:rPr>
            </w:pPr>
            <w:r>
              <w:rPr>
                <w:rFonts w:ascii="Arial" w:cs="Arial" w:eastAsia="Arial" w:hAnsi="Arial"/>
                <w:sz w:val="18"/>
                <w:szCs w:val="18"/>
                <w:b w:val="1"/>
                <w:bCs w:val="1"/>
                <w:color w:val="auto"/>
              </w:rPr>
              <w:t>NOTE 11: LONG-TERM DEPOSITS, EQUIPMENT PREPAYMENTS, OTHER AND COMMITMENTS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34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3460" w:type="dxa"/>
            <w:vAlign w:val="bottom"/>
            <w:tcBorders>
              <w:bottom w:val="single" w:sz="8" w:color="CCEEFF"/>
            </w:tcBorders>
          </w:tcPr>
          <w:p>
            <w:pPr>
              <w:spacing w:after="0"/>
              <w:rPr>
                <w:sz w:val="20"/>
                <w:szCs w:val="20"/>
                <w:color w:val="auto"/>
              </w:rPr>
            </w:pPr>
          </w:p>
        </w:tc>
        <w:tc>
          <w:tcPr>
            <w:tcW w:w="38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VAT receivable*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Security deposits for energy, insurance and rent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1,555</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942</w:t>
            </w:r>
          </w:p>
        </w:tc>
        <w:tc>
          <w:tcPr>
            <w:tcW w:w="80" w:type="dxa"/>
            <w:vAlign w:val="bottom"/>
          </w:tcPr>
          <w:p>
            <w:pPr>
              <w:spacing w:after="0"/>
              <w:rPr>
                <w:sz w:val="18"/>
                <w:szCs w:val="18"/>
                <w:color w:val="auto"/>
              </w:rPr>
            </w:pPr>
          </w:p>
        </w:tc>
      </w:tr>
      <w:tr>
        <w:trPr>
          <w:trHeight w:val="250"/>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prepayments</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83,059</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21"/>
                <w:szCs w:val="21"/>
                <w:color w:val="auto"/>
              </w:rPr>
            </w:pPr>
          </w:p>
        </w:tc>
      </w:tr>
      <w:tr>
        <w:trPr>
          <w:trHeight w:val="210"/>
        </w:trPr>
        <w:tc>
          <w:tcPr>
            <w:tcW w:w="3460" w:type="dxa"/>
            <w:vAlign w:val="bottom"/>
            <w:tcBorders>
              <w:top w:val="single" w:sz="8" w:color="CCEEFF"/>
            </w:tcBorders>
          </w:tcPr>
          <w:p>
            <w:pPr>
              <w:spacing w:after="0"/>
              <w:rPr>
                <w:sz w:val="18"/>
                <w:szCs w:val="18"/>
                <w:color w:val="auto"/>
              </w:rPr>
            </w:pPr>
          </w:p>
        </w:tc>
        <w:tc>
          <w:tcPr>
            <w:tcW w:w="38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86,681</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ind w:left="340" w:hanging="332"/>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See note 19d for further details to the Company’s foreign currency risk on VAT receivable in Argentine Pesos.</w:t>
      </w:r>
    </w:p>
    <w:p>
      <w:pPr>
        <w:spacing w:after="0" w:line="225" w:lineRule="exact"/>
        <w:rPr>
          <w:sz w:val="20"/>
          <w:szCs w:val="20"/>
          <w:color w:val="auto"/>
        </w:rPr>
      </w:pPr>
    </w:p>
    <w:p>
      <w:pPr>
        <w:jc w:val="both"/>
        <w:ind w:left="20" w:hanging="4"/>
        <w:spacing w:after="0" w:line="296" w:lineRule="auto"/>
        <w:rPr>
          <w:sz w:val="20"/>
          <w:szCs w:val="20"/>
          <w:color w:val="auto"/>
        </w:rPr>
      </w:pPr>
      <w:r>
        <w:rPr>
          <w:rFonts w:ascii="Arial" w:cs="Arial" w:eastAsia="Arial" w:hAnsi="Arial"/>
          <w:sz w:val="16"/>
          <w:szCs w:val="16"/>
          <w:color w:val="auto"/>
        </w:rPr>
        <w:t>The Company has deposits on BVVE and electrical components in the amount of $83,059, mainly for outstanding orders placed consisting of 48,000 Whatsminer miners with expected delivery in 2022. The Company is exposed to counterparty risk through the significant deposits it places with suppliers of mining hardware to secure orders and delivery dates. The risk of a supplier failing to meet its contractual obligations may result in late deliveries or long-term deposits and equipment prepayments that are not realized. The Company attempts to mitigate this risk by procuring mining hardware from the larger more established suppliers and with whom the company has existing relationships and knowledge of their reputation in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165860" cy="3086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BITFARMS LTD.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LONG-TERM DEPOSITS, EQUIPMENT PREPAYMENTS, OTHER AND COMMITMENTS (Cont.)</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Company’s remaining payment obligations in connection with the 48,000 unit purchase agreement and an additional purchase agreement for 1,200</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Antminer miners are outlined below:</w:t>
      </w:r>
    </w:p>
    <w:p>
      <w:pPr>
        <w:sectPr>
          <w:pgSz w:w="11900" w:h="16838" w:orient="portrait"/>
          <w:cols w:equalWidth="0" w:num="1">
            <w:col w:w="11240"/>
          </w:cols>
          <w:pgMar w:left="320" w:top="2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ending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ending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Three months ending September 30, 2022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ending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December 31,</w:t>
      </w:r>
    </w:p>
    <w:p>
      <w:pPr>
        <w:spacing w:after="0" w:line="3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2021</w:t>
      </w:r>
    </w:p>
    <w:p>
      <w:pPr>
        <w:spacing w:after="0" w:line="35" w:lineRule="exact"/>
        <w:rPr>
          <w:sz w:val="20"/>
          <w:szCs w:val="20"/>
          <w:color w:val="auto"/>
        </w:rPr>
      </w:pPr>
    </w:p>
    <w:p>
      <w:pPr>
        <w:ind w:left="620" w:hanging="615"/>
        <w:spacing w:after="0"/>
        <w:tabs>
          <w:tab w:leader="none" w:pos="6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45,642</w:t>
      </w:r>
    </w:p>
    <w:p>
      <w:pPr>
        <w:spacing w:after="0" w:line="46"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44,239</w:t>
      </w:r>
    </w:p>
    <w:p>
      <w:pPr>
        <w:spacing w:after="0" w:line="32"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28,391</w:t>
      </w:r>
    </w:p>
    <w:p>
      <w:pPr>
        <w:spacing w:after="0" w:line="32"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13,890</w:t>
      </w:r>
    </w:p>
    <w:p>
      <w:pPr>
        <w:spacing w:after="0" w:line="58" w:lineRule="exact"/>
        <w:rPr>
          <w:sz w:val="20"/>
          <w:szCs w:val="20"/>
          <w:color w:val="auto"/>
        </w:rPr>
      </w:pPr>
    </w:p>
    <w:p>
      <w:pPr>
        <w:ind w:left="520" w:hanging="515"/>
        <w:spacing w:after="0"/>
        <w:tabs>
          <w:tab w:leader="none" w:pos="5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132,162</w:t>
      </w:r>
    </w:p>
    <w:p>
      <w:pPr>
        <w:spacing w:after="0" w:line="200" w:lineRule="exact"/>
        <w:rPr>
          <w:sz w:val="20"/>
          <w:szCs w:val="20"/>
          <w:color w:val="auto"/>
        </w:rPr>
      </w:pPr>
    </w:p>
    <w:p>
      <w:pPr>
        <w:sectPr>
          <w:pgSz w:w="11900" w:h="16838" w:orient="portrait"/>
          <w:cols w:equalWidth="0" w:num="2">
            <w:col w:w="9300" w:space="720"/>
            <w:col w:w="1220"/>
          </w:cols>
          <w:pgMar w:left="320" w:top="243" w:right="339" w:bottom="1440" w:gutter="0" w:footer="0" w:header="0"/>
          <w:type w:val="continuous"/>
        </w:sectPr>
      </w:pP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require additional sources of financing to meet the payment obligations included in the table above. As described in Note 1, if the Company were unable to obtain such financing, or the Bitcoin price and network difficulty were adversely impacted, then the Company may have difficulty meeting its payment obligations. If the Company were unable to meet its payment obligations, there could result in the loss of equipment prepayments and deposits paid by the Company under the purchase agreements and remedial legal measures taken against the Company which may include damages and forced continuance of the contractual arrangement. Under these circumstances, the Company’s growth plans and ongoing operations could be adversely impacted.</w:t>
      </w:r>
    </w:p>
    <w:p>
      <w:pPr>
        <w:spacing w:after="0" w:line="192" w:lineRule="exact"/>
        <w:rPr>
          <w:sz w:val="20"/>
          <w:szCs w:val="20"/>
          <w:color w:val="auto"/>
        </w:rPr>
      </w:pPr>
    </w:p>
    <w:p>
      <w:pPr>
        <w:jc w:val="both"/>
        <w:ind w:hanging="4"/>
        <w:spacing w:after="0" w:line="277" w:lineRule="auto"/>
        <w:rPr>
          <w:sz w:val="20"/>
          <w:szCs w:val="20"/>
          <w:color w:val="auto"/>
        </w:rPr>
      </w:pPr>
      <w:r>
        <w:rPr>
          <w:rFonts w:ascii="Arial" w:cs="Arial" w:eastAsia="Arial" w:hAnsi="Arial"/>
          <w:sz w:val="18"/>
          <w:szCs w:val="18"/>
          <w:color w:val="auto"/>
        </w:rPr>
        <w:t>The Company also entered into one ten-year lease agreement for a future facility in Quebec, with monthly payments totaling $64 ($81,500 CAD) which is expected to commence the first quarter of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12: TRADE PAYABLES AND ACCRUED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868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 and accrued liabilities</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Government remittances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4,607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419"/>
        </w:trPr>
        <w:tc>
          <w:tcPr>
            <w:tcW w:w="8680" w:type="dxa"/>
            <w:vAlign w:val="bottom"/>
          </w:tcPr>
          <w:p>
            <w:pPr>
              <w:spacing w:after="0"/>
              <w:rPr>
                <w:sz w:val="20"/>
                <w:szCs w:val="20"/>
                <w:color w:val="auto"/>
              </w:rPr>
            </w:pPr>
            <w:r>
              <w:rPr>
                <w:rFonts w:ascii="Arial" w:cs="Arial" w:eastAsia="Arial" w:hAnsi="Arial"/>
                <w:sz w:val="18"/>
                <w:szCs w:val="18"/>
                <w:b w:val="1"/>
                <w:bCs w:val="1"/>
                <w:color w:val="auto"/>
              </w:rPr>
              <w:t>NOTE 13: CREDIT FACILITY</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Interest payable on revolving credit facility</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165860" cy="3086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type w:val="continuous"/>
        </w:sectPr>
      </w:pPr>
    </w:p>
    <w:bookmarkStart w:id="100" w:name="page101"/>
    <w:bookmarkEnd w:id="100"/>
    <w:p>
      <w:pPr>
        <w:ind w:left="9860"/>
        <w:spacing w:after="0"/>
        <w:rPr>
          <w:sz w:val="20"/>
          <w:szCs w:val="20"/>
          <w:color w:val="auto"/>
        </w:rPr>
      </w:pPr>
      <w:r>
        <w:rPr>
          <w:rFonts w:ascii="Arial" w:cs="Arial" w:eastAsia="Arial" w:hAnsi="Arial"/>
          <w:sz w:val="17"/>
          <w:szCs w:val="17"/>
          <w:b w:val="1"/>
          <w:bCs w:val="1"/>
          <w:color w:val="auto"/>
        </w:rPr>
        <w:t>BITFARMS LTD.</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CREDIT FACILITY (Cont.)</w:t>
      </w:r>
    </w:p>
    <w:p>
      <w:pPr>
        <w:spacing w:after="0" w:line="229" w:lineRule="exact"/>
        <w:rPr>
          <w:sz w:val="20"/>
          <w:szCs w:val="20"/>
          <w:color w:val="auto"/>
        </w:rPr>
      </w:pPr>
    </w:p>
    <w:p>
      <w:pPr>
        <w:jc w:val="both"/>
        <w:ind w:hanging="4"/>
        <w:spacing w:after="0" w:line="270" w:lineRule="auto"/>
        <w:rPr>
          <w:sz w:val="20"/>
          <w:szCs w:val="20"/>
          <w:color w:val="auto"/>
        </w:rPr>
      </w:pPr>
      <w:r>
        <w:rPr>
          <w:rFonts w:ascii="Arial" w:cs="Arial" w:eastAsia="Arial" w:hAnsi="Arial"/>
          <w:sz w:val="17"/>
          <w:szCs w:val="17"/>
          <w:color w:val="auto"/>
        </w:rPr>
        <w:t>On December 30, 2021, the Company entered into a secured revolving credit facility up to $100,000 for a term of 6 months with Galaxy Digital LLC (the Facility Lender). The facility bears interest at a rate of 10.75% per annum with an unused fee of 0.75% per annum charged on the unused portion of the $100,000 facility. The facility is secured by Bitcoin, with the minimum value of Bitcoin pledged as collateral calculated as 143% of the amount borrowed. The Company is required to contribute additional collateral to the Facility Lender any time the value of the Bitcoin pledged as collateral is below 133% of the amount borrowed. The Company also has the right to require the Facility Lender to return any Bitcoin when the value of the Bitcoin pledged as collateral exceeds 143% of the amount borrowed. A substantial decrease in Bitcoin price may result in the Company being unable to meet the minimum Bitcoin collateral requirements, which could result in the disposition of the Company’s Bitcoin pledged as collateral by the Facility Lender, or repayment of the facility in fiat currency on demand. The Company is exposed to counterparty risk as it is reliant on the Facility Lender to return the Bitcoin collateral upon extinguishment of the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contains a covenant where the ending balance of the Company’s net assets of any calendar month cannot decline by:</w:t>
      </w:r>
    </w:p>
    <w:p>
      <w:pPr>
        <w:spacing w:after="0" w:line="225"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25% or more compared to the previous month</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50% or more compared to three months ago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50% or more compared to any calendar month in the immediately preceding calendar year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As of February 28, 2022, the most recently completed calendar month, the Company was in compliance with all of the covenants described above.</w:t>
      </w:r>
    </w:p>
    <w:p>
      <w:pPr>
        <w:spacing w:after="0" w:line="237" w:lineRule="exact"/>
        <w:rPr>
          <w:sz w:val="20"/>
          <w:szCs w:val="20"/>
          <w:color w:val="auto"/>
        </w:rPr>
      </w:pPr>
    </w:p>
    <w:p>
      <w:pPr>
        <w:jc w:val="both"/>
        <w:ind w:right="20" w:hanging="4"/>
        <w:spacing w:after="0" w:line="263" w:lineRule="auto"/>
        <w:rPr>
          <w:sz w:val="20"/>
          <w:szCs w:val="20"/>
          <w:color w:val="auto"/>
        </w:rPr>
      </w:pPr>
      <w:r>
        <w:rPr>
          <w:rFonts w:ascii="Arial" w:cs="Arial" w:eastAsia="Arial" w:hAnsi="Arial"/>
          <w:sz w:val="18"/>
          <w:szCs w:val="18"/>
          <w:color w:val="auto"/>
        </w:rPr>
        <w:t>As of December 31, 2021 the Company had drawn $60,000 of the facility and pledged 1,875 Bitcoin as collateral with a fair market value of $86,825. The pledged Bitcoin is held in a segregated Coinbase Custody account owned by the Facility Lender. Subsequent to year end, an additional 739 BTC were held as collateral by the Facility Lender due to the decline in Bitcoin price.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14: LONG-TERM DEBT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868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Dominion Capital loan</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Equipment financing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11,039</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Volta note payable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21"/>
                <w:szCs w:val="2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long-term debt</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11,167</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17,345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(10,257)</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(17,171)</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Non-current portion of long-term debt</w:t>
            </w: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910</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925"/>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1165860" cy="3086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101" w:name="page102"/>
    <w:bookmarkEnd w:id="101"/>
    <w:p>
      <w:pPr>
        <w:ind w:left="9860"/>
        <w:spacing w:after="0"/>
        <w:rPr>
          <w:sz w:val="20"/>
          <w:szCs w:val="20"/>
          <w:color w:val="auto"/>
        </w:rPr>
      </w:pPr>
      <w:r>
        <w:rPr>
          <w:rFonts w:ascii="Arial" w:cs="Arial" w:eastAsia="Arial" w:hAnsi="Arial"/>
          <w:sz w:val="17"/>
          <w:szCs w:val="17"/>
          <w:b w:val="1"/>
          <w:bCs w:val="1"/>
          <w:color w:val="auto"/>
        </w:rPr>
        <w:t>BITFARMS LTD.</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LONG-TERM DEBT (Cont.)</w:t>
      </w:r>
    </w:p>
    <w:p>
      <w:pPr>
        <w:spacing w:after="0" w:line="229"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Dominion Capital loan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15, 2019, the Company entered into a secured debt financing facility for up to $20,000 with Dominion Capital LLC (the Lender). The debt facility was structured into four separate loan tranches of $5,000 per tranche. Each loan tranche bore interest at 10% per annum and the term of each loan tranche was 24 months with a balloon payment for any remaining outstanding balance at the end of the term. A monthly payment equivalent to 10% of the value of cryptocurrencies mined by Backbone during the month was required in repayment of the total loan tranches drawn. The loan contained a “make-whole” clause which stipulated that the 10% interest rate was calculated on the initial principal balance of the loan tranche and did not decrease as the principal balance was repaid.</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10% interest rate was calculated over the 24-month term of each loan tranche regardless of whether the loan tranche was repaid prior to its maturity. Any unpaid interest at the time of the loan tranche’s early repayment was included in the balloon payment. The loan features resulted in a loan liability measured at amortized cost, a warrant component recorded as equity, a warrant component recorded as a liability measured at fair value through profit or loss, and an embedded derivative measured at fair value through profit or loss described below.</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2020, the Company entered into an agreement with Dominion Capital to amend the maturity date of tranche #2 from April 2021 to November 2021. The 10% make-whole clause described below remained in effect for the 6 month extension of the second loan tranche. In addition, a conversion feature was added to tranche #3, maturing in June 2021, providing Dominion Capital with the option to convert all or a portion of the loan tranche into shares at a price of $0.59 USD per share. The conversion feature was exercisable by Dominion Capital at any time until the loan’s maturity date in June 2021. In January 2021, Dominion Capital exercised their option to convert $5,000 of debt into 8,474,577 Common Shares. In February 2021, the Company repaid the remaining debt obligation in its entirety.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liability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loan liability was initially measured as the residual amount of the proceeds received, net of transaction costs and the fair value of the warrant issuance. The loan was then measured at amortized cost using the effective interest method. Management used significant judgement and estimates when determining the effective interest rate. Payment amounts were determined as 10% of the cryptocurrency mined by Backbone. In order to calculate the effective interest rate, management estimated Backbone’s future cryptocurrency mining revenues in order to estimate the timing and amount of future loan repayments. Upon inception of each loan tranche, the effective interest rates were determined to be 26.93%, 30.16%, 37.10 % and 38.02% for the first, second, third and fourth tranches, respectively. Included in financial expenses for the year ended December 31, 2021 is $472 (December 31, 2020: $5,315) of interest expense related to the loan.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issuance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Bitfarms Ltd. also issued 1,666,667 Lender warrants, which vested upon issuance, to acquire 1,666,667 shares of Bitfarms Ltd. for each loan tranche drawn with an exercise price of $0.40 USD per share and an expiration date of five years. As a result, an aggregate of 6,666,668 Lender warrants to acquire 6,666,668 shares have been issued, of which 1,250,000 were exercised as of December 31, 2020. The remaining 5,416,668 warrants were exercised in January and February 2021 resulting in the issuance of 5,251,223 common shares for proceeds of approximately $1,500, see Note 18. The warrant exercises described above include the cashless exercise of 1,666,667 warrants resulting in the issuance of 1,501,222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1165860" cy="3086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BITFARMS LTD.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LONG-TERM DEBT (Cont.)</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to the loan modifications described above, a cashless exercise feature was authorized for the warrants issued in connection with Tranche #2 and Tranche #3, which resulted in these warrants being reclassified from equity to a warrant liability measured at fair value through profit or loss. The Black Scholes model and the inputs described in Note 18 were used in determining the values of the warrants prior to their derecognition which resulted in a non-cash loss on revaluation of warrants for the year ended December 31, 2021 of $2,466 included in net financial expenses (December 31, 2020: $nil).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derivative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value of the “make-whole” clause described above varied based on management’s projections of the timing of the loan repayment, which are based on Backbone’s cryptocurrency mining revenues. This interest feature has been accounted for as an embedded derivative that is measured at fair value through profit or loss. The early repayment of the loan resulted in the company recording a loss on embedded derivative for the year ended December 31, 2021 $2,641 included in net financial expenses (December 31, 2020: a gain of $973). See Note 25c.</w:t>
      </w:r>
    </w:p>
    <w:p>
      <w:pPr>
        <w:spacing w:after="0" w:line="171" w:lineRule="exact"/>
        <w:rPr>
          <w:sz w:val="20"/>
          <w:szCs w:val="20"/>
          <w:color w:val="auto"/>
        </w:rPr>
      </w:pPr>
    </w:p>
    <w:p>
      <w:pPr>
        <w:ind w:left="500" w:hanging="492"/>
        <w:spacing w:after="0"/>
        <w:tabs>
          <w:tab w:leader="none" w:pos="5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Equipment financing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and May 2021, the Company entered into four loan agreements for the acquisition of 2,465 Whatsminer miners referred to as “Foundry Loans #1, #2, #3 and #4”.</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2021, the Company modified the terms of three lease agreements with its lender, Blockfills, for 4,000 Whatsminer miners to convert them to loan agreements. The key terms, such as interest rates, term and payment schedules remain unchanged. A total of $3,904 was reclassified from lease liabilities to long-term debt as a result of the modification. The right-of-use assets related to the three leases were classified in property, plant and equipment and as a result no reclassification was made. Details of the equipment financing and the balance of the loans and the net book value (NBV) of their related collateral, as of December 31, 2021,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Long-term</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Monthly</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debt</w:t>
            </w:r>
          </w:p>
        </w:tc>
        <w:tc>
          <w:tcPr>
            <w:tcW w:w="14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NBV of</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306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Maturity date</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Rate</w:t>
            </w:r>
          </w:p>
        </w:tc>
        <w:tc>
          <w:tcPr>
            <w:tcW w:w="2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repayment</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6"/>
              </w:rPr>
              <w:t>balance</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Collateral</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Collateral*</w:t>
            </w:r>
          </w:p>
        </w:tc>
        <w:tc>
          <w:tcPr>
            <w:tcW w:w="100" w:type="dxa"/>
            <w:vAlign w:val="bottom"/>
            <w:tcBorders>
              <w:bottom w:val="single" w:sz="8" w:color="CCEEFF"/>
            </w:tcBorders>
            <w:gridSpan w:val="2"/>
          </w:tcPr>
          <w:p>
            <w:pPr>
              <w:spacing w:after="0"/>
              <w:rPr>
                <w:sz w:val="20"/>
                <w:szCs w:val="20"/>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Blockfills loan #1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August 2022</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Blockfills loan #2</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September 2022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1,067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1,722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Blockfills loan #3</w:t>
            </w:r>
          </w:p>
        </w:tc>
        <w:tc>
          <w:tcPr>
            <w:tcW w:w="16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October 2022</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973</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Foundry loan #1</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September 2022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4,620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7,917</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1,465</w:t>
            </w:r>
          </w:p>
        </w:tc>
        <w:tc>
          <w:tcPr>
            <w:tcW w:w="8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Foundry loan #2</w:t>
            </w:r>
          </w:p>
        </w:tc>
        <w:tc>
          <w:tcPr>
            <w:tcW w:w="1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2023</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1,911</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Foundry loan #3</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April 2023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1,287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1,591</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300</w:t>
            </w:r>
          </w:p>
        </w:tc>
      </w:tr>
      <w:tr>
        <w:trPr>
          <w:trHeight w:val="249"/>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Foundry loan #4</w:t>
            </w:r>
          </w:p>
        </w:tc>
        <w:tc>
          <w:tcPr>
            <w:tcW w:w="16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May 2023</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1,549</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1,862</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r>
      <w:tr>
        <w:trPr>
          <w:trHeight w:val="210"/>
        </w:trPr>
        <w:tc>
          <w:tcPr>
            <w:tcW w:w="30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1,149</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11,039</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16,998</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6,465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Represents the quantity of Whatsminers received in connection with the equipment financing and pledged as collateral for the related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1165860" cy="3086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103" w:name="page104"/>
    <w:bookmarkEnd w:id="103"/>
    <w:p>
      <w:pPr>
        <w:ind w:left="9860"/>
        <w:spacing w:after="0"/>
        <w:rPr>
          <w:sz w:val="20"/>
          <w:szCs w:val="20"/>
          <w:color w:val="auto"/>
        </w:rPr>
      </w:pPr>
      <w:r>
        <w:rPr>
          <w:rFonts w:ascii="Arial" w:cs="Arial" w:eastAsia="Arial" w:hAnsi="Arial"/>
          <w:sz w:val="17"/>
          <w:szCs w:val="17"/>
          <w:b w:val="1"/>
          <w:bCs w:val="1"/>
          <w:color w:val="auto"/>
        </w:rPr>
        <w:t>BITFARMS LTD.</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LEASES</w:t>
      </w:r>
    </w:p>
    <w:p>
      <w:pPr>
        <w:spacing w:after="0" w:line="229" w:lineRule="exact"/>
        <w:rPr>
          <w:sz w:val="20"/>
          <w:szCs w:val="20"/>
          <w:color w:val="auto"/>
        </w:rPr>
      </w:pPr>
    </w:p>
    <w:p>
      <w:pPr>
        <w:jc w:val="both"/>
        <w:ind w:hanging="4"/>
        <w:spacing w:after="0" w:line="277" w:lineRule="auto"/>
        <w:rPr>
          <w:sz w:val="20"/>
          <w:szCs w:val="20"/>
          <w:color w:val="auto"/>
        </w:rPr>
      </w:pPr>
      <w:r>
        <w:rPr>
          <w:rFonts w:ascii="Arial" w:cs="Arial" w:eastAsia="Arial" w:hAnsi="Arial"/>
          <w:sz w:val="18"/>
          <w:szCs w:val="18"/>
          <w:color w:val="auto"/>
        </w:rPr>
        <w:t>Set out below are the carrying amounts of the Company’s right-of-use assets and lease liabilities and their activity during the year ended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Leased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Total ROU</w:t>
            </w:r>
          </w:p>
        </w:tc>
        <w:tc>
          <w:tcPr>
            <w:tcW w:w="160" w:type="dxa"/>
            <w:vAlign w:val="bottom"/>
          </w:tcPr>
          <w:p>
            <w:pPr>
              <w:spacing w:after="0"/>
              <w:rPr>
                <w:sz w:val="18"/>
                <w:szCs w:val="18"/>
                <w:color w:val="auto"/>
              </w:rPr>
            </w:pPr>
          </w:p>
        </w:tc>
        <w:tc>
          <w:tcPr>
            <w:tcW w:w="106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Lease</w:t>
            </w: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premises</w:t>
            </w:r>
          </w:p>
        </w:tc>
        <w:tc>
          <w:tcPr>
            <w:tcW w:w="18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Vehicles</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equipment</w:t>
            </w:r>
          </w:p>
        </w:tc>
        <w:tc>
          <w:tcPr>
            <w:tcW w:w="12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06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w w:val="93"/>
              </w:rPr>
              <w:t>liabilities</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at January 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Additions and extensions to ROU assets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5,713</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5,939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 plant and equipment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7,786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(1,040)</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(1,168)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Lease termination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Lease liabilities converted to long-term debt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(3,904)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Issuance of warrants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Foreign exchange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As at December 31, 2021</w:t>
            </w: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9,038</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13,573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Less current portion of lease 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 of lease liabilities</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2021, the Company modified the terms of three two-year lease agreements for mining hardware, with a balance of $3,904 at the time of conversion, in June 2021, resulting in the lease liabilities being reclassified to long-term debt as described in Note 14b. No changes were made to the payment terms, interest rate or security interest of the former leases.The Company maintains one lease agreement for mining hardware, consisting of 3,000 Whatsminer M31S+, with a net book value of approximately $5,422, classified as property, plant and equipment under BVVE and electrical equipment as described in Note 9.</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year, the Company issued 468,013 warrants to the former lessor with an exercise price of $0.40 USD and expiring in May 2023 for a total cost of $2,160. The cost of these warrants was added to the cost of the leased assets which were recorded as an addition to property, plant and equipment and will be amortized over the useful life of the corresponding assets. The inputs used to value the grant using the Black-Scholes model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May 11,</w:t>
            </w:r>
          </w:p>
        </w:tc>
      </w:tr>
      <w:tr>
        <w:trPr>
          <w:trHeight w:val="241"/>
        </w:trPr>
        <w:tc>
          <w:tcPr>
            <w:tcW w:w="9760" w:type="dxa"/>
            <w:vAlign w:val="bottom"/>
            <w:gridSpan w:val="2"/>
          </w:tcPr>
          <w:p>
            <w:pPr>
              <w:spacing w:after="0"/>
              <w:rPr>
                <w:sz w:val="20"/>
                <w:szCs w:val="20"/>
                <w:color w:val="auto"/>
              </w:rPr>
            </w:pPr>
            <w:r>
              <w:rPr>
                <w:rFonts w:ascii="Arial" w:cs="Arial" w:eastAsia="Arial" w:hAnsi="Arial"/>
                <w:sz w:val="18"/>
                <w:szCs w:val="18"/>
                <w:b w:val="1"/>
                <w:bCs w:val="1"/>
                <w:color w:val="auto"/>
              </w:rPr>
              <w:t>Grant date</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60" w:type="dxa"/>
            <w:vAlign w:val="bottom"/>
          </w:tcPr>
          <w:p>
            <w:pPr>
              <w:spacing w:after="0"/>
              <w:rPr>
                <w:sz w:val="20"/>
                <w:szCs w:val="20"/>
                <w:color w:val="auto"/>
              </w:rPr>
            </w:pPr>
          </w:p>
        </w:tc>
      </w:tr>
      <w:tr>
        <w:trPr>
          <w:trHeight w:val="216"/>
        </w:trPr>
        <w:tc>
          <w:tcPr>
            <w:tcW w:w="9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r>
      <w:tr>
        <w:trPr>
          <w:trHeight w:val="216"/>
        </w:trPr>
        <w:tc>
          <w:tcPr>
            <w:tcW w:w="9760" w:type="dxa"/>
            <w:vAlign w:val="bottom"/>
            <w:gridSpan w:val="2"/>
          </w:tcPr>
          <w:p>
            <w:pPr>
              <w:spacing w:after="0"/>
              <w:rPr>
                <w:sz w:val="20"/>
                <w:szCs w:val="20"/>
                <w:color w:val="auto"/>
              </w:rPr>
            </w:pPr>
            <w:r>
              <w:rPr>
                <w:rFonts w:ascii="Arial" w:cs="Arial" w:eastAsia="Arial" w:hAnsi="Arial"/>
                <w:sz w:val="18"/>
                <w:szCs w:val="18"/>
                <w:color w:val="auto"/>
              </w:rPr>
              <w:t>Expected share price volatility (%)</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r>
      <w:tr>
        <w:trPr>
          <w:trHeight w:val="216"/>
        </w:trPr>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r>
      <w:tr>
        <w:trPr>
          <w:trHeight w:val="216"/>
        </w:trPr>
        <w:tc>
          <w:tcPr>
            <w:tcW w:w="9760" w:type="dxa"/>
            <w:vAlign w:val="bottom"/>
            <w:gridSpan w:val="2"/>
          </w:tcPr>
          <w:p>
            <w:pPr>
              <w:spacing w:after="0"/>
              <w:rPr>
                <w:sz w:val="20"/>
                <w:szCs w:val="20"/>
                <w:color w:val="auto"/>
              </w:rPr>
            </w:pPr>
            <w:r>
              <w:rPr>
                <w:rFonts w:ascii="Arial" w:cs="Arial" w:eastAsia="Arial" w:hAnsi="Arial"/>
                <w:sz w:val="18"/>
                <w:szCs w:val="18"/>
                <w:color w:val="auto"/>
              </w:rPr>
              <w:t>Expected life of warrants (years)</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1.00</w:t>
            </w:r>
          </w:p>
        </w:tc>
      </w:tr>
      <w:tr>
        <w:trPr>
          <w:trHeight w:val="216"/>
        </w:trPr>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price (CAD)</w:t>
            </w: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6.04</w:t>
            </w:r>
          </w:p>
        </w:tc>
      </w:tr>
      <w:tr>
        <w:trPr>
          <w:trHeight w:val="216"/>
        </w:trPr>
        <w:tc>
          <w:tcPr>
            <w:tcW w:w="9760" w:type="dxa"/>
            <w:vAlign w:val="bottom"/>
            <w:gridSpan w:val="2"/>
          </w:tcPr>
          <w:p>
            <w:pPr>
              <w:spacing w:after="0"/>
              <w:rPr>
                <w:sz w:val="20"/>
                <w:szCs w:val="20"/>
                <w:color w:val="auto"/>
              </w:rPr>
            </w:pPr>
            <w:r>
              <w:rPr>
                <w:rFonts w:ascii="Arial" w:cs="Arial" w:eastAsia="Arial" w:hAnsi="Arial"/>
                <w:sz w:val="18"/>
                <w:szCs w:val="18"/>
                <w:color w:val="auto"/>
              </w:rPr>
              <w:t>Exercise price (USD)</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0.40USD</w:t>
            </w:r>
          </w:p>
        </w:tc>
      </w:tr>
      <w:tr>
        <w:trPr>
          <w:trHeight w:val="216"/>
        </w:trPr>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warrants (USD)</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4.62USD</w:t>
            </w:r>
          </w:p>
        </w:tc>
      </w:tr>
      <w:tr>
        <w:trPr>
          <w:trHeight w:val="230"/>
        </w:trPr>
        <w:tc>
          <w:tcPr>
            <w:tcW w:w="9760" w:type="dxa"/>
            <w:vAlign w:val="bottom"/>
            <w:gridSpan w:val="2"/>
          </w:tcPr>
          <w:p>
            <w:pPr>
              <w:spacing w:after="0"/>
              <w:rPr>
                <w:sz w:val="20"/>
                <w:szCs w:val="20"/>
                <w:color w:val="auto"/>
              </w:rPr>
            </w:pPr>
            <w:r>
              <w:rPr>
                <w:rFonts w:ascii="Arial" w:cs="Arial" w:eastAsia="Arial" w:hAnsi="Arial"/>
                <w:sz w:val="18"/>
                <w:szCs w:val="18"/>
                <w:color w:val="auto"/>
              </w:rPr>
              <w:t>Quantity of warrants granted*</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468,013</w:t>
            </w:r>
          </w:p>
        </w:tc>
      </w:tr>
    </w:tbl>
    <w:p>
      <w:pPr>
        <w:spacing w:after="0" w:line="187"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warrants issued are for the purchase of one common share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165860" cy="3086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BITFARMS LTD.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29"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Deferred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taxes are computed at a tax rate of 26.5% based on tax rates expected to apply at the time of realization. Deferred taxes relate primarily to the timing differences on recognition of expenses relating to the depreciation of fixed assets, loss carryforwards and professional fees relating to the Company’s equity activity that are recorded as a reduction of equity. The Company’s deferred tax liability as of December 31, 2021 was $8,451 and its deferred tax asset was $3,896.</w:t>
      </w:r>
    </w:p>
    <w:p>
      <w:pPr>
        <w:spacing w:after="0" w:line="187"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Taxes included in profit or loss: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2"/>
              </w:rPr>
              <w:t>Year ended December 31,</w:t>
            </w:r>
          </w:p>
        </w:tc>
      </w:tr>
      <w:tr>
        <w:trPr>
          <w:trHeight w:val="236"/>
        </w:trPr>
        <w:tc>
          <w:tcPr>
            <w:tcW w:w="86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tax expense: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year</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12,358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Prior year</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(693)</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expense: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year</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8,665</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Prior year</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20,507</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In addition to the taxes included in profit or loss, a deferred tax recovery of $4,287 was recorded through equity as it related to expenses recorded as a reduction of equity in connection with the Company’s Private placements and at-the-market equity program as described in Note 18.</w:t>
      </w:r>
    </w:p>
    <w:p>
      <w:pPr>
        <w:spacing w:after="0" w:line="124"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Effective tax rate for the year ended December 31: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statutory rate of 26.5%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11,299</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Increase in taxes resulting from:</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Prior year</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(516)</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 and other</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12,996</w:t>
            </w: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Deferred tax asset previously not recognized</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(3,655)</w:t>
            </w:r>
          </w:p>
        </w:tc>
      </w:tr>
      <w:tr>
        <w:trPr>
          <w:trHeight w:val="223"/>
        </w:trPr>
        <w:tc>
          <w:tcPr>
            <w:tcW w:w="100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ASSET RETIREMENT PROVISION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2021, the Company estimated the costs of restoring its leased premises to their original state at the end of their respective lease terms to be $391, discounted to present value of $319 using a discount rate of 8% over the lease periods, which were estimated to range from one to seven years depending on the location. An amount of $80 was reclassified from asset retirement provision to trade payables and accrued liabilities as the obligation is expected to come due within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1165860" cy="3086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BITFARMS LTD.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NOTE 18: SHARE CAPITAL</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Authorized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6"/>
          </w:tcPr>
          <w:p>
            <w:pPr>
              <w:ind w:left="120"/>
              <w:spacing w:after="0"/>
              <w:rPr>
                <w:sz w:val="20"/>
                <w:szCs w:val="20"/>
                <w:color w:val="auto"/>
              </w:rPr>
            </w:pPr>
            <w:r>
              <w:rPr>
                <w:rFonts w:ascii="Arial" w:cs="Arial" w:eastAsia="Arial" w:hAnsi="Arial"/>
                <w:sz w:val="18"/>
                <w:szCs w:val="18"/>
                <w:b w:val="1"/>
                <w:bCs w:val="1"/>
                <w:color w:val="auto"/>
              </w:rPr>
              <w:t>Issued and outstanding at</w:t>
            </w:r>
          </w:p>
        </w:tc>
      </w:tr>
      <w:tr>
        <w:trPr>
          <w:trHeight w:val="198"/>
        </w:trPr>
        <w:tc>
          <w:tcPr>
            <w:tcW w:w="5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3"/>
          </w:tcPr>
          <w:p>
            <w:pPr>
              <w:jc w:val="center"/>
              <w:spacing w:after="0" w:line="198" w:lineRule="exact"/>
              <w:rPr>
                <w:sz w:val="20"/>
                <w:szCs w:val="20"/>
                <w:color w:val="auto"/>
              </w:rPr>
            </w:pPr>
            <w:r>
              <w:rPr>
                <w:rFonts w:ascii="Arial" w:cs="Arial" w:eastAsia="Arial" w:hAnsi="Arial"/>
                <w:sz w:val="18"/>
                <w:szCs w:val="18"/>
                <w:b w:val="1"/>
                <w:bCs w:val="1"/>
                <w:color w:val="auto"/>
                <w:w w:val="88"/>
              </w:rPr>
              <w:t>December 31,</w:t>
            </w: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120" w:type="dxa"/>
            <w:vAlign w:val="bottom"/>
            <w:tcBorders>
              <w:top w:val="single" w:sz="8" w:color="auto"/>
            </w:tcBorders>
            <w:gridSpan w:val="3"/>
          </w:tcPr>
          <w:p>
            <w:pPr>
              <w:jc w:val="center"/>
              <w:spacing w:after="0" w:line="198"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5"/>
          </w:tcPr>
          <w:p>
            <w:pPr>
              <w:jc w:val="center"/>
              <w:ind w:left="7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b w:val="1"/>
                <w:bCs w:val="1"/>
                <w:color w:val="auto"/>
                <w:w w:val="90"/>
              </w:rPr>
              <w:t>Number of shares</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Common shares of no par value</w:t>
            </w: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8"/>
              </w:rPr>
              <w:t>Unlimited</w:t>
            </w:r>
          </w:p>
        </w:tc>
        <w:tc>
          <w:tcPr>
            <w:tcW w:w="150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194,805,893</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88,939,359</w:t>
            </w:r>
          </w:p>
        </w:tc>
        <w:tc>
          <w:tcPr>
            <w:tcW w:w="100" w:type="dxa"/>
            <w:vAlign w:val="bottom"/>
            <w:shd w:val="clear" w:color="auto" w:fill="CCEEFF"/>
          </w:tcPr>
          <w:p>
            <w:pPr>
              <w:spacing w:after="0"/>
              <w:rPr>
                <w:sz w:val="21"/>
                <w:szCs w:val="21"/>
                <w:color w:val="auto"/>
              </w:rPr>
            </w:pPr>
          </w:p>
        </w:tc>
      </w:tr>
      <w:tr>
        <w:trPr>
          <w:trHeight w:val="419"/>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Details of the outstanding warrants are as follows:</w:t>
            </w:r>
          </w:p>
        </w:tc>
        <w:tc>
          <w:tcPr>
            <w:tcW w:w="11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53"/>
        </w:trPr>
        <w:tc>
          <w:tcPr>
            <w:tcW w:w="5980" w:type="dxa"/>
            <w:vAlign w:val="bottom"/>
          </w:tcPr>
          <w:p>
            <w:pPr>
              <w:spacing w:after="0"/>
              <w:rPr>
                <w:sz w:val="24"/>
                <w:szCs w:val="24"/>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b w:val="1"/>
                <w:bCs w:val="1"/>
                <w:color w:val="auto"/>
              </w:rPr>
              <w:t>2021</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gridSpan w:val="7"/>
          </w:tcPr>
          <w:p>
            <w:pPr>
              <w:jc w:val="right"/>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59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88"/>
              </w:rPr>
              <w:t>Weighted</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average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average</w:t>
            </w:r>
          </w:p>
        </w:tc>
      </w:tr>
      <w:tr>
        <w:trPr>
          <w:trHeight w:val="229"/>
        </w:trPr>
        <w:tc>
          <w:tcPr>
            <w:tcW w:w="598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exercise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exercise</w:t>
            </w:r>
          </w:p>
        </w:tc>
      </w:tr>
      <w:tr>
        <w:trPr>
          <w:trHeight w:val="241"/>
        </w:trPr>
        <w:tc>
          <w:tcPr>
            <w:tcW w:w="598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warrants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price (USD)</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warrants</w:t>
            </w:r>
          </w:p>
        </w:tc>
        <w:tc>
          <w:tcPr>
            <w:tcW w:w="100" w:type="dxa"/>
            <w:vAlign w:val="bottom"/>
          </w:tcPr>
          <w:p>
            <w:pPr>
              <w:spacing w:after="0"/>
              <w:rPr>
                <w:sz w:val="20"/>
                <w:szCs w:val="20"/>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price (USD)</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6,052,918</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3"/>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6,716,668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40,332,368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3.36</w:t>
            </w:r>
          </w:p>
        </w:tc>
        <w:tc>
          <w:tcPr>
            <w:tcW w:w="1500" w:type="dxa"/>
            <w:vAlign w:val="bottom"/>
            <w:gridSpan w:val="6"/>
          </w:tcPr>
          <w:p>
            <w:pPr>
              <w:jc w:val="right"/>
              <w:ind w:right="220"/>
              <w:spacing w:after="0"/>
              <w:rPr>
                <w:sz w:val="20"/>
                <w:szCs w:val="20"/>
                <w:color w:val="auto"/>
              </w:rPr>
            </w:pPr>
            <w:r>
              <w:rPr>
                <w:rFonts w:ascii="Arial" w:cs="Arial" w:eastAsia="Arial" w:hAnsi="Arial"/>
                <w:sz w:val="18"/>
                <w:szCs w:val="18"/>
                <w:color w:val="auto"/>
              </w:rPr>
              <w:t>336,250</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0.40</w:t>
            </w: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(26,957,489)</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w:t>
            </w:r>
          </w:p>
        </w:tc>
        <w:tc>
          <w:tcPr>
            <w:tcW w:w="150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r>
      <w:tr>
        <w:trPr>
          <w:trHeight w:val="217"/>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December 31,</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19,427,797</w:t>
            </w: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3"/>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6,052,918</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top w:val="single" w:sz="8" w:color="CCEEFF"/>
            </w:tcBorders>
          </w:tcPr>
          <w:p>
            <w:pPr>
              <w:spacing w:after="0"/>
              <w:rPr>
                <w:sz w:val="18"/>
                <w:szCs w:val="18"/>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Dominion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Note 14, in January 2021, Dominion Capital exercised their option to convert $5,000 of debt into 8,474,577 Common Shares.</w:t>
      </w:r>
    </w:p>
    <w:p>
      <w:pPr>
        <w:spacing w:after="0" w:line="225" w:lineRule="exact"/>
        <w:rPr>
          <w:sz w:val="20"/>
          <w:szCs w:val="20"/>
          <w:color w:val="auto"/>
        </w:rPr>
      </w:pPr>
    </w:p>
    <w:p>
      <w:pPr>
        <w:jc w:val="both"/>
        <w:ind w:hanging="4"/>
        <w:spacing w:after="0" w:line="263" w:lineRule="auto"/>
        <w:rPr>
          <w:sz w:val="20"/>
          <w:szCs w:val="20"/>
          <w:color w:val="auto"/>
        </w:rPr>
      </w:pPr>
      <w:r>
        <w:rPr>
          <w:rFonts w:ascii="Arial" w:cs="Arial" w:eastAsia="Arial" w:hAnsi="Arial"/>
          <w:sz w:val="18"/>
          <w:szCs w:val="18"/>
          <w:color w:val="auto"/>
        </w:rPr>
        <w:t>In January and February 2021, Dominion Capital exercised all of their remaining outstanding warrants resulting in the issuance of 5,251,223 common shares for proceeds of approximately $1,500. The warrant exercises described above include the cashless exercise of 1,666,667 warrants resulting in the issuance of 1,501,222 common shares.</w:t>
      </w:r>
    </w:p>
    <w:p>
      <w:pPr>
        <w:spacing w:after="0" w:line="184" w:lineRule="exact"/>
        <w:rPr>
          <w:sz w:val="20"/>
          <w:szCs w:val="20"/>
          <w:color w:val="auto"/>
        </w:rPr>
      </w:pPr>
    </w:p>
    <w:p>
      <w:pPr>
        <w:jc w:val="both"/>
        <w:ind w:hanging="4"/>
        <w:spacing w:after="0" w:line="259" w:lineRule="auto"/>
        <w:rPr>
          <w:sz w:val="20"/>
          <w:szCs w:val="20"/>
          <w:color w:val="auto"/>
        </w:rPr>
      </w:pPr>
      <w:r>
        <w:rPr>
          <w:rFonts w:ascii="Arial" w:cs="Arial" w:eastAsia="Arial" w:hAnsi="Arial"/>
          <w:sz w:val="18"/>
          <w:szCs w:val="18"/>
          <w:color w:val="auto"/>
        </w:rPr>
        <w:t>In addition to the loan modifications described in Note 14, a cashless exercise feature was authorized for the warrants issued in connection with Tranche #2 and Tranche #3, which resulted in these warrants being reclassified from equity to a warrant liability measured at fair value through profit or loss. The derecognition of warrants containing the authorized cashless exercise feature resulted in a non-cash loss on revaluation of warrants of $2,466 included in net financial expenses for the year ended December 31, 2021 (December 31, 2020: $3,876).</w:t>
      </w:r>
    </w:p>
    <w:p>
      <w:pPr>
        <w:spacing w:after="0" w:line="187" w:lineRule="exact"/>
        <w:rPr>
          <w:sz w:val="20"/>
          <w:szCs w:val="20"/>
          <w:color w:val="auto"/>
        </w:rPr>
      </w:pPr>
    </w:p>
    <w:p>
      <w:pPr>
        <w:jc w:val="both"/>
        <w:ind w:hanging="4"/>
        <w:spacing w:after="0" w:line="277" w:lineRule="auto"/>
        <w:rPr>
          <w:sz w:val="20"/>
          <w:szCs w:val="20"/>
          <w:color w:val="auto"/>
        </w:rPr>
      </w:pPr>
      <w:r>
        <w:rPr>
          <w:rFonts w:ascii="Arial" w:cs="Arial" w:eastAsia="Arial" w:hAnsi="Arial"/>
          <w:sz w:val="18"/>
          <w:szCs w:val="18"/>
          <w:color w:val="auto"/>
        </w:rPr>
        <w:t>The Black Scholes model and the inputs below were used in determining the values of the warrants relating to Tranche #2 and Tranche #3, prior to their derecognition: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2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0"/>
              </w:rPr>
              <w:t>Remeasurement on settlement of warrant liability</w:t>
            </w:r>
          </w:p>
        </w:tc>
      </w:tr>
      <w:tr>
        <w:trPr>
          <w:trHeight w:val="198"/>
        </w:trPr>
        <w:tc>
          <w:tcPr>
            <w:tcW w:w="7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top w:val="single" w:sz="8" w:color="auto"/>
            </w:tcBorders>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January 7,</w:t>
            </w:r>
          </w:p>
        </w:tc>
        <w:tc>
          <w:tcPr>
            <w:tcW w:w="138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0"/>
              </w:rPr>
              <w:t>January 25,</w:t>
            </w:r>
          </w:p>
        </w:tc>
        <w:tc>
          <w:tcPr>
            <w:tcW w:w="11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5"/>
              </w:rPr>
              <w:t>February 11,</w:t>
            </w:r>
          </w:p>
        </w:tc>
        <w:tc>
          <w:tcPr>
            <w:tcW w:w="160" w:type="dxa"/>
            <w:vAlign w:val="bottom"/>
          </w:tcPr>
          <w:p>
            <w:pPr>
              <w:spacing w:after="0"/>
              <w:rPr>
                <w:sz w:val="17"/>
                <w:szCs w:val="17"/>
                <w:color w:val="auto"/>
              </w:rPr>
            </w:pPr>
          </w:p>
        </w:tc>
      </w:tr>
      <w:tr>
        <w:trPr>
          <w:trHeight w:val="241"/>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Exercise date</w:t>
            </w: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6"/>
        </w:trPr>
        <w:tc>
          <w:tcPr>
            <w:tcW w:w="7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Expected share price volatility (%)</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Expected life of warrants (years)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0.92</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0.42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0.71</w:t>
            </w: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price (CAD)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w:t>
            </w: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Exercise price (CAD)</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0.51</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0.39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0.51</w:t>
            </w: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warrants (USD)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7220" w:type="dxa"/>
            <w:vAlign w:val="bottom"/>
            <w:gridSpan w:val="2"/>
          </w:tcPr>
          <w:p>
            <w:pPr>
              <w:spacing w:after="0"/>
              <w:rPr>
                <w:sz w:val="20"/>
                <w:szCs w:val="20"/>
                <w:color w:val="auto"/>
              </w:rPr>
            </w:pPr>
            <w:r>
              <w:rPr>
                <w:rFonts w:ascii="Arial" w:cs="Arial" w:eastAsia="Arial" w:hAnsi="Arial"/>
                <w:sz w:val="18"/>
                <w:szCs w:val="18"/>
                <w:color w:val="auto"/>
              </w:rPr>
              <w:t>Quantity of warrants exercised</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250,000</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1,666,667</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916,667</w:t>
            </w:r>
          </w:p>
        </w:tc>
      </w:tr>
      <w:tr>
        <w:trPr>
          <w:trHeight w:val="911"/>
        </w:trPr>
        <w:tc>
          <w:tcPr>
            <w:tcW w:w="7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1165860" cy="3086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BITFARMS LTD.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SHARE CAPITAL (Cont.)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January, February and May 2021, the Company completed four private placements for total gross proceeds of $155,000,000 CAD in exchange for 40,187,121 Common Shares and 36,649,385 warrants to purchase Common Shares: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January 7,</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8"/>
              </w:rPr>
              <w:t>January 14,</w:t>
            </w:r>
          </w:p>
        </w:tc>
        <w:tc>
          <w:tcPr>
            <w:tcW w:w="15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7"/>
              </w:rPr>
              <w:t>February 10,</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May 20,</w:t>
            </w:r>
          </w:p>
        </w:tc>
      </w:tr>
      <w:tr>
        <w:trPr>
          <w:trHeight w:val="241"/>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Closing Date</w:t>
            </w: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48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360" w:type="dxa"/>
            <w:vAlign w:val="bottom"/>
          </w:tcPr>
          <w:p>
            <w:pPr>
              <w:spacing w:after="0"/>
              <w:rPr>
                <w:sz w:val="20"/>
                <w:szCs w:val="20"/>
                <w:color w:val="auto"/>
              </w:rPr>
            </w:pPr>
          </w:p>
        </w:tc>
      </w:tr>
      <w:tr>
        <w:trPr>
          <w:trHeight w:val="216"/>
        </w:trPr>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proceeds (CAD)</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5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4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4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75,000,000</w:t>
            </w:r>
          </w:p>
        </w:tc>
        <w:tc>
          <w:tcPr>
            <w:tcW w:w="36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Common shares issued</w:t>
            </w:r>
          </w:p>
        </w:tc>
        <w:tc>
          <w:tcPr>
            <w:tcW w:w="1580" w:type="dxa"/>
            <w:vAlign w:val="bottom"/>
            <w:gridSpan w:val="2"/>
          </w:tcPr>
          <w:p>
            <w:pPr>
              <w:jc w:val="right"/>
              <w:ind w:right="500"/>
              <w:spacing w:after="0"/>
              <w:rPr>
                <w:sz w:val="20"/>
                <w:szCs w:val="20"/>
                <w:color w:val="auto"/>
              </w:rPr>
            </w:pPr>
            <w:r>
              <w:rPr>
                <w:rFonts w:ascii="Arial" w:cs="Arial" w:eastAsia="Arial" w:hAnsi="Arial"/>
                <w:sz w:val="18"/>
                <w:szCs w:val="18"/>
                <w:color w:val="auto"/>
              </w:rPr>
              <w:t>8,888,889</w:t>
            </w: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5,586,593</w:t>
            </w: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11,560,695</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14,150,944</w:t>
            </w: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issued*</w:t>
            </w: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8,888,889</w:t>
            </w: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5,586,593</w:t>
            </w: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11,560,695</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10,613,208</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Warrant strike price</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2.75CAD</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3.10USD</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3.01USD</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4.87USD</w:t>
            </w: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life (years)</w:t>
            </w: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w:t>
            </w: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w:t>
            </w: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Commission paid</w:t>
            </w: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Broker warrants issued*</w:t>
            </w: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711,111</w:t>
            </w: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446,927</w:t>
            </w: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924,586</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1,132,076</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Broker warrant strike price</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2.81CAD</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3.53USD</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3.39USD</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5.49USD</w:t>
            </w: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Broker warrant life (years)</w:t>
            </w: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w:t>
            </w: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w:t>
            </w: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r>
    </w:tbl>
    <w:p>
      <w:pPr>
        <w:spacing w:after="0" w:line="202" w:lineRule="exact"/>
        <w:rPr>
          <w:sz w:val="20"/>
          <w:szCs w:val="20"/>
          <w:color w:val="auto"/>
        </w:rPr>
      </w:pPr>
    </w:p>
    <w:p>
      <w:pPr>
        <w:ind w:left="340" w:hanging="332"/>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warrants issued are for the purchase of one common share in the Company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2021, 8,888,889 warrants and 615,111 of the 711,111 broker warrants related to the private placement that closed on January 7, 2021, were exercised resulting in the issuance of 9,504,000 common shares for proceeds of approximately $20,611 (26,172,000 CAD).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2021, 5,027,933 warrants related to the private placement closed on January 14, 2021 were exercised resulting in the issuance of 5,027,933 common shares for proceeds of approximately $15,587. In addition, 800,000 of the 924,586 broker warrants issued in connection with the private placement on February 10, 2021 were exercised resulting in the issuance of 800,000 common shares for proceeds of $2,712.</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2021, 5,404,625 warrants related to the private placement closed on February 7, 2021, were exercised resulting in the issuance of 5,404,625 common shares for proceeds of approximately $16,268.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total, 20,736,558 warrants relating to the private placements have been exercised resulting in the issuance of 20,736,558 common shares for proceeds of $55,178.</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warrants issued in connection with the private placement closed on January 7, 2021 had a strike price denominated in Canadian dollars, which is different from the Company’s functional currency of the U.S. dollar. As a result, fluctuations in the Canadian to U.S. dollar exchange rate could result in the Company receiving a variable amount of cash in its functional currency in exchange for the exercise of warrants and issuance of shares. The possibility of variation in the settlement price in the Company’s functional currency results in the warrants being classified as a liability that is measured at fair value through profit or loss. This accounting treatment does not apply to the broker warrants issued in Canadian dollars as warrants issued in exchange for goods or services are generally accounted for as equity with no remeasurement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1165860" cy="3086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BITFARMS LTD.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SHARE CAPITAL (Cont.)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Black Scholes model and the inputs below were used in determining the values of the warrants prior to their derecognition which resulted in a non-cash loss on revaluation of warrants of $17,058 included in net financial expenses.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Initial</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5"/>
        </w:trPr>
        <w:tc>
          <w:tcPr>
            <w:tcW w:w="5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recognition</w:t>
            </w:r>
          </w:p>
        </w:tc>
        <w:tc>
          <w:tcPr>
            <w:tcW w:w="402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0"/>
              </w:rPr>
              <w:t>Remeasurement on settlement of warrant liability</w:t>
            </w:r>
          </w:p>
        </w:tc>
      </w:tr>
      <w:tr>
        <w:trPr>
          <w:trHeight w:val="198"/>
        </w:trPr>
        <w:tc>
          <w:tcPr>
            <w:tcW w:w="5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2"/>
              </w:rPr>
              <w:t>January 7,</w:t>
            </w:r>
          </w:p>
        </w:tc>
        <w:tc>
          <w:tcPr>
            <w:tcW w:w="1380" w:type="dxa"/>
            <w:vAlign w:val="bottom"/>
            <w:tcBorders>
              <w:top w:val="single" w:sz="8" w:color="auto"/>
            </w:tcBorders>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3"/>
              </w:rPr>
              <w:t>February 16,</w:t>
            </w:r>
          </w:p>
        </w:tc>
        <w:tc>
          <w:tcPr>
            <w:tcW w:w="138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3"/>
              </w:rPr>
              <w:t>February 22,</w:t>
            </w:r>
          </w:p>
        </w:tc>
        <w:tc>
          <w:tcPr>
            <w:tcW w:w="11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3"/>
              </w:rPr>
              <w:t>February 26,</w:t>
            </w:r>
          </w:p>
        </w:tc>
        <w:tc>
          <w:tcPr>
            <w:tcW w:w="160" w:type="dxa"/>
            <w:vAlign w:val="bottom"/>
          </w:tcPr>
          <w:p>
            <w:pPr>
              <w:spacing w:after="0"/>
              <w:rPr>
                <w:sz w:val="17"/>
                <w:szCs w:val="17"/>
                <w:color w:val="auto"/>
              </w:rPr>
            </w:pPr>
          </w:p>
        </w:tc>
      </w:tr>
      <w:tr>
        <w:trPr>
          <w:trHeight w:val="241"/>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Measurement date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6"/>
        </w:trPr>
        <w:tc>
          <w:tcPr>
            <w:tcW w:w="5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Expected share price volatility (%)</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Expected life of warrants (years)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0.38</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0.38</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0.38</w:t>
            </w: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price (CAD)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4.67</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Exercise price (CAD)</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2.75</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2.75</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2.75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2.75</w:t>
            </w: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warrants (USD)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0.65</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w:t>
            </w: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Quantity of warrants exercised</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8,888,889</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888,889</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5,000,000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3,000,000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2021, employees, directors, consultants and former employees exercised stock options to acquire 6,073,585 common shares resulting in proceeds of approximately $6,177 being paid to the Company.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additional 414,508 common shares were issued in connection with the business combination described in Note 4, and 1,771 other common shares were issued during the year ended December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Program</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Bitfarms commenced an at-the-market equity program on August 16, 2021, pursuant to which the Company may, at its discretion and from time-to-time, sell common shares of the Company, resulting in the Company receiving aggregate proceeds of up to $500,000. During the year ended December 31, 2021, the Company issued 23,922,928 common shares in exchange for gross proceeds of $150,296 at an average share price of approximately $6.28USD. The Company received net proceeds of $145,601 after paying commissions of $4,509 to the Company’s agent and $186 in other transaction costs.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FINANCIAL INSTRUMENTS</w:t>
      </w:r>
    </w:p>
    <w:p>
      <w:pPr>
        <w:spacing w:after="0" w:line="229" w:lineRule="exact"/>
        <w:rPr>
          <w:sz w:val="20"/>
          <w:szCs w:val="20"/>
          <w:color w:val="auto"/>
        </w:rPr>
      </w:pPr>
    </w:p>
    <w:p>
      <w:pPr>
        <w:ind w:left="500" w:hanging="492"/>
        <w:spacing w:after="0"/>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Financial assets at amortized cost:</w:t>
      </w:r>
    </w:p>
    <w:p>
      <w:pPr>
        <w:spacing w:after="0" w:line="235" w:lineRule="exact"/>
        <w:rPr>
          <w:sz w:val="20"/>
          <w:szCs w:val="20"/>
          <w:color w:val="auto"/>
        </w:rPr>
      </w:pPr>
    </w:p>
    <w:p>
      <w:pPr>
        <w:ind w:left="93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17145</wp:posOffset>
            </wp:positionV>
            <wp:extent cx="156019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ind w:left="9060"/>
        <w:spacing w:after="0"/>
        <w:tabs>
          <w:tab w:leader="none" w:pos="1036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8660" w:val="left"/>
          <w:tab w:leader="none" w:pos="9380" w:val="left"/>
          <w:tab w:leader="none" w:pos="10000" w:val="left"/>
          <w:tab w:leader="none" w:pos="10700" w:val="left"/>
        </w:tabs>
        <w:rPr>
          <w:sz w:val="20"/>
          <w:szCs w:val="20"/>
          <w:color w:val="auto"/>
        </w:rPr>
      </w:pPr>
      <w:r>
        <w:rPr>
          <w:rFonts w:ascii="Arial" w:cs="Arial" w:eastAsia="Arial" w:hAnsi="Arial"/>
          <w:sz w:val="18"/>
          <w:szCs w:val="18"/>
          <w:color w:val="auto"/>
        </w:rPr>
        <w:t>Trade receivables,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1,038</w:t>
        <w:tab/>
        <w:t>$</w:t>
      </w:r>
      <w:r>
        <w:rPr>
          <w:sz w:val="20"/>
          <w:szCs w:val="20"/>
          <w:color w:val="auto"/>
        </w:rPr>
        <w:tab/>
      </w:r>
      <w:r>
        <w:rPr>
          <w:rFonts w:ascii="Arial" w:cs="Arial" w:eastAsia="Arial" w:hAnsi="Arial"/>
          <w:sz w:val="16"/>
          <w:szCs w:val="16"/>
          <w:color w:val="auto"/>
        </w:rPr>
        <w:t>1,103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165860" cy="3086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BITFARMS LTD.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FINANCIAL INSTRUMENTS (Cont.)</w:t>
      </w:r>
    </w:p>
    <w:p>
      <w:pPr>
        <w:spacing w:after="0" w:line="229" w:lineRule="exact"/>
        <w:rPr>
          <w:sz w:val="20"/>
          <w:szCs w:val="20"/>
          <w:color w:val="auto"/>
        </w:rPr>
      </w:pPr>
    </w:p>
    <w:p>
      <w:pPr>
        <w:ind w:left="500" w:hanging="492"/>
        <w:spacing w:after="0"/>
        <w:tabs>
          <w:tab w:leader="none" w:pos="5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Financial liabilities at amortized cost: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accrued liabilities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3"/>
              </w:rPr>
              <w:t>14,480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Credit facility</w:t>
            </w:r>
          </w:p>
        </w:tc>
        <w:tc>
          <w:tcPr>
            <w:tcW w:w="2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60,002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11,167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17,345</w:t>
            </w: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Lease liabilities</w:t>
            </w:r>
          </w:p>
        </w:tc>
        <w:tc>
          <w:tcPr>
            <w:tcW w:w="240" w:type="dxa"/>
            <w:vAlign w:val="bottom"/>
          </w:tcPr>
          <w:p>
            <w:pPr>
              <w:spacing w:after="0"/>
              <w:rPr>
                <w:sz w:val="20"/>
                <w:szCs w:val="20"/>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13,573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11,023</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3"/>
              </w:rPr>
              <w:t>99,222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trade receivables, trade payables and accrued liabilities, credit facility and long-term debt presented in the tables above, are a reasonable approximation of their fair value.</w:t>
      </w:r>
    </w:p>
    <w:p>
      <w:pPr>
        <w:spacing w:after="0" w:line="170" w:lineRule="exact"/>
        <w:rPr>
          <w:sz w:val="20"/>
          <w:szCs w:val="20"/>
          <w:color w:val="auto"/>
        </w:rPr>
      </w:pPr>
    </w:p>
    <w:p>
      <w:pPr>
        <w:ind w:left="500" w:hanging="492"/>
        <w:spacing w:after="0"/>
        <w:tabs>
          <w:tab w:leader="none" w:pos="5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Risk management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exposed to foreign currency risk, credit risk and liquidity risk. The Company’s senior management monitors these risks.</w:t>
      </w:r>
    </w:p>
    <w:p>
      <w:pPr>
        <w:spacing w:after="0" w:line="225" w:lineRule="exact"/>
        <w:rPr>
          <w:sz w:val="20"/>
          <w:szCs w:val="20"/>
          <w:color w:val="auto"/>
        </w:rPr>
      </w:pPr>
    </w:p>
    <w:p>
      <w:pPr>
        <w:ind w:left="500" w:hanging="492"/>
        <w:spacing w:after="0"/>
        <w:tabs>
          <w:tab w:leader="none" w:pos="5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Foreign currency risk:</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Foreign currency risk is the risk that the fair value or future cash flows of a financial instrument will fluctuate because of changes in foreign exchange rates. The Company’s functional currency is the US Dollar as all of its cryptocurrency mining revenues, most of its capital expenditures and most of its financing are primarily measured or transacted in US dollars. The Company is exposed to variability in the Canadian dollar and Argentine peso to US dollar exchange when making expenditures payable in Canadian dollars and Argentine pesos. The Company funds foreign currency transactions by buying the foreign currency at the spot rate when required. A 5% increase or decrease in the USD/CAD and USD/ARS exchange rates may have an impact of an increase or decrease of $1,162 on retained earnings at December 31, 2021 (December 31, 2020: $255).</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Amounts denominated in Canadian dollars and Argentine pesos included in the consolidated statements of financial position, presented in U.S. dollars in thousands,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right"/>
              <w:ind w:right="861"/>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8"/>
                <w:szCs w:val="18"/>
                <w:b w:val="1"/>
                <w:bCs w:val="1"/>
                <w:color w:val="auto"/>
              </w:rPr>
              <w:t>2021</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541"/>
              <w:spacing w:after="0"/>
              <w:rPr>
                <w:sz w:val="20"/>
                <w:szCs w:val="20"/>
                <w:color w:val="auto"/>
              </w:rPr>
            </w:pPr>
            <w:r>
              <w:rPr>
                <w:rFonts w:ascii="Arial" w:cs="Arial" w:eastAsia="Arial" w:hAnsi="Arial"/>
                <w:sz w:val="18"/>
                <w:szCs w:val="18"/>
                <w:b w:val="1"/>
                <w:bCs w:val="1"/>
                <w:color w:val="auto"/>
              </w:rPr>
              <w:t>CAD</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ARS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481"/>
              <w:spacing w:after="0"/>
              <w:rPr>
                <w:sz w:val="20"/>
                <w:szCs w:val="20"/>
                <w:color w:val="auto"/>
              </w:rPr>
            </w:pPr>
            <w:r>
              <w:rPr>
                <w:rFonts w:ascii="Arial" w:cs="Arial" w:eastAsia="Arial" w:hAnsi="Arial"/>
                <w:sz w:val="18"/>
                <w:szCs w:val="18"/>
                <w:b w:val="1"/>
                <w:bCs w:val="1"/>
                <w:color w:val="auto"/>
              </w:rPr>
              <w:t>CAD</w:t>
            </w:r>
          </w:p>
        </w:tc>
        <w:tc>
          <w:tcPr>
            <w:tcW w:w="24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color w:val="auto"/>
              </w:rPr>
              <w:t>4,374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1,038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Long-term deposits, equipment prepayments and other</w:t>
            </w:r>
          </w:p>
        </w:tc>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color w:val="auto"/>
              </w:rPr>
              <w:t>902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2,067</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accrued liabilities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(4,964)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Taxes payable</w:t>
            </w:r>
          </w:p>
        </w:tc>
        <w:tc>
          <w:tcPr>
            <w:tcW w:w="22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(10,226)</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(1,659)</w:t>
            </w: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(316)</w:t>
            </w:r>
          </w:p>
        </w:tc>
        <w:tc>
          <w:tcPr>
            <w:tcW w:w="24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(8,462)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(126)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(253)</w:t>
            </w:r>
          </w:p>
        </w:tc>
        <w:tc>
          <w:tcPr>
            <w:tcW w:w="24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(9,678)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(5,957)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Asset retirement provision</w:t>
            </w:r>
          </w:p>
        </w:tc>
        <w:tc>
          <w:tcPr>
            <w:tcW w:w="220" w:type="dxa"/>
            <w:vAlign w:val="bottom"/>
          </w:tcPr>
          <w:p>
            <w:pPr>
              <w:spacing w:after="0"/>
              <w:rPr>
                <w:sz w:val="19"/>
                <w:szCs w:val="19"/>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(239)</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(209)</w:t>
            </w:r>
          </w:p>
        </w:tc>
        <w:tc>
          <w:tcPr>
            <w:tcW w:w="240" w:type="dxa"/>
            <w:vAlign w:val="bottom"/>
          </w:tcPr>
          <w:p>
            <w:pPr>
              <w:spacing w:after="0"/>
              <w:rPr>
                <w:sz w:val="19"/>
                <w:szCs w:val="19"/>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(23,906</w:t>
            </w:r>
          </w:p>
        </w:tc>
        <w:tc>
          <w:tcPr>
            <w:tcW w:w="26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w:t>
            </w:r>
          </w:p>
        </w:tc>
        <w:tc>
          <w:tcPr>
            <w:tcW w:w="22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165860" cy="3086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BITFARMS LTD.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FINANCIAL INSTRUMENTS (Cont.)</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described in Note 11, Included in long-term deposits, equipment prepayments and other is refundable Argentine value-added tax (VAT), most of which the Company does not expect to realize within the next 12 months. Historically, ARS has devalued significantly when compared to USD due to high levels of inflation in Argentina, which may result in the Company recording future foreign exchange losses on its Argentina VAT receivable.</w:t>
      </w:r>
    </w:p>
    <w:p>
      <w:pPr>
        <w:spacing w:after="0" w:line="165" w:lineRule="exact"/>
        <w:rPr>
          <w:sz w:val="20"/>
          <w:szCs w:val="20"/>
          <w:color w:val="auto"/>
        </w:rPr>
      </w:pPr>
    </w:p>
    <w:p>
      <w:pPr>
        <w:ind w:left="500" w:hanging="492"/>
        <w:spacing w:after="0"/>
        <w:tabs>
          <w:tab w:leader="none" w:pos="5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Credit risk:</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Credit risk is the risk of an unexpected loss if a third party fails to meet its contractual obligations, including cash and cash equivalents. There is a risk of suppliers of mining hardware failing to meet their contractual obligations, that may result in late deliveries or significant long-term deposits and equipment prepayments that are not realized. The Company attempts to mitigate this risk by procuring mining hardware from larger more established suppliers with whom the company has existing relationships and knowledge of their reputation in the market, as described in Note 11. The Company also insures the majority of its construction deposits for the Argentina facility in order to mitigate the risk of supplier’s not meeting their contractual obligations. The risk regarding cash and cash equivalents is mitigated by holding the majority of the Company’s cash and cash equivalents through a Canadian chartered bank. The credit risk regarding trade receivables are derived mainly from sales to Volta’s third-party customers. The Company performs ongoing credit evaluations of its customers. An allowance for doubtful accounts is determined with respect to those amounts that the Company has determined to be doubtful of collection. The allowance for doubtful accounts is based on management’s assessment of a customer’s credit quality as well as subjective factors and trends, including the aging of receivable balances.</w:t>
      </w:r>
    </w:p>
    <w:p>
      <w:pPr>
        <w:spacing w:after="0" w:line="185" w:lineRule="exact"/>
        <w:rPr>
          <w:sz w:val="20"/>
          <w:szCs w:val="20"/>
          <w:color w:val="auto"/>
        </w:rPr>
      </w:pPr>
    </w:p>
    <w:p>
      <w:pPr>
        <w:ind w:left="500" w:hanging="492"/>
        <w:spacing w:after="0"/>
        <w:tabs>
          <w:tab w:leader="none" w:pos="5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Liquidity risk: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Liquidity risk is a risk that the Company will not be able to pay its financial obligations when they are due. The Company has significant commitments with suppliers of mining hardware described in Note 11 which are not included in the financial obligations outlined below. The Company’s policy is to monitor its cash balances and planned cash flows generated from operations to ensure that it maintains sufficient liquidity in order to pay its projected financial liabilities. The contractual maturities of trade and other payables and the credit facility are less than three and six months, respectively. Long-term debt and the credit facility include financial obligations with contractual maturities as follows, inclusive of interest on the long-term debt, as of December 31, 2021: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p>
        </w:tc>
        <w:tc>
          <w:tcPr>
            <w:tcW w:w="1220" w:type="dxa"/>
            <w:vAlign w:val="bottom"/>
            <w:gridSpan w:val="4"/>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63"/>
        </w:trPr>
        <w:tc>
          <w:tcPr>
            <w:tcW w:w="100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896</w:t>
            </w:r>
          </w:p>
        </w:tc>
        <w:tc>
          <w:tcPr>
            <w:tcW w:w="80" w:type="dxa"/>
            <w:vAlign w:val="bottom"/>
          </w:tcPr>
          <w:p>
            <w:pPr>
              <w:spacing w:after="0"/>
              <w:rPr>
                <w:sz w:val="18"/>
                <w:szCs w:val="18"/>
                <w:color w:val="auto"/>
              </w:rPr>
            </w:pPr>
          </w:p>
        </w:tc>
      </w:tr>
      <w:tr>
        <w:trPr>
          <w:trHeight w:val="23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 and thereafter</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50"/>
        </w:trPr>
        <w:tc>
          <w:tcPr>
            <w:tcW w:w="100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74,886</w:t>
            </w:r>
          </w:p>
        </w:tc>
        <w:tc>
          <w:tcPr>
            <w:tcW w:w="80" w:type="dxa"/>
            <w:vAlign w:val="bottom"/>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165860" cy="3086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BITFARMS LTD.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FINANCIAL INSTRUMENTS (Cont.)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Lease liabilities includes financial obligations with contractual maturities as follows, inclusive of interest, as of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2026 and thereafter</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17,519</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Movement in long-term debt for the years ending December 31, 2021 and 2020 is as follows:</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Conversion of lease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Issuance of long-term debt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Payments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(22,382)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on long-term debt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Conversion of long-term debt and loan modification</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Derecognition of embedded derivative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Pr>
          <w:p>
            <w:pPr>
              <w:spacing w:after="0"/>
              <w:rPr>
                <w:sz w:val="21"/>
                <w:szCs w:val="21"/>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11,167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17,345</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NOTE 20: TRANSACTIONS AND BALANCES WITH RELATED PARTIES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a.  Balances with related parties: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68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Trade payables and accrued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Directors’ remuneration</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Director and senior management incentive plan</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1,465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Companies controlled by directors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1,357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Amounts due to related parties, other than lease liabilities, are unsecured, non-interest bearing and payable on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165860" cy="3086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111" w:name="page112"/>
    <w:bookmarkEnd w:id="111"/>
    <w:p>
      <w:pPr>
        <w:ind w:left="9860"/>
        <w:spacing w:after="0"/>
        <w:rPr>
          <w:sz w:val="20"/>
          <w:szCs w:val="20"/>
          <w:color w:val="auto"/>
        </w:rPr>
      </w:pPr>
      <w:r>
        <w:rPr>
          <w:rFonts w:ascii="Arial" w:cs="Arial" w:eastAsia="Arial" w:hAnsi="Arial"/>
          <w:sz w:val="17"/>
          <w:szCs w:val="17"/>
          <w:b w:val="1"/>
          <w:bCs w:val="1"/>
          <w:color w:val="auto"/>
        </w:rPr>
        <w:t>BITFARMS LTD.</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TRANSACTIONS AND BALANCES WITH RELATED PARTIES (Cont.)</w:t>
      </w:r>
    </w:p>
    <w:p>
      <w:pPr>
        <w:spacing w:after="0" w:line="229" w:lineRule="exact"/>
        <w:rPr>
          <w:sz w:val="20"/>
          <w:szCs w:val="20"/>
          <w:color w:val="auto"/>
        </w:rPr>
      </w:pPr>
    </w:p>
    <w:p>
      <w:pPr>
        <w:ind w:left="340" w:hanging="332"/>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Transactions with related parties during the year ended December 31, 2021:</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Company made rent payments totaling approximately $475 for the year ended December 31, 2021, (for the year ended December 31, 2020: $440) to companies controlled by certain directors. The rent payments were classified as interest included in financial expenses and principal repayment of lease liabilities.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Company entered into consulting agreements with two directors. The consulting fees totaled approximately $625 for the year ended December 31, 2021, (for the year ended December 31, 2020: $379).</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transactions described above were incurred in the normal course of operations. These transactions are included in consolidated statements of profit or loss and comprehensive profit and loss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ind w:left="240"/>
              <w:spacing w:after="0"/>
              <w:rPr>
                <w:sz w:val="20"/>
                <w:szCs w:val="20"/>
                <w:color w:val="auto"/>
              </w:rPr>
            </w:pPr>
            <w:r>
              <w:rPr>
                <w:rFonts w:ascii="Arial" w:cs="Arial" w:eastAsia="Arial" w:hAnsi="Arial"/>
                <w:sz w:val="18"/>
                <w:szCs w:val="18"/>
                <w:b w:val="1"/>
                <w:bCs w:val="1"/>
                <w:color w:val="auto"/>
              </w:rPr>
              <w:t>Year ended 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625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Net financial expenses</w:t>
            </w:r>
          </w:p>
        </w:tc>
        <w:tc>
          <w:tcPr>
            <w:tcW w:w="800" w:type="dxa"/>
            <w:vAlign w:val="bottom"/>
          </w:tcPr>
          <w:p>
            <w:pPr>
              <w:spacing w:after="0"/>
              <w:rPr>
                <w:sz w:val="20"/>
                <w:szCs w:val="20"/>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126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751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Compensation of key management and directors: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Key management includes the Company’s Directors, Chief Officers and Vice Presidents. The remuneration paid to directors and other members of key management personnel, to the extent that they are not included in the consulting agreements described in Note 20b,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ind w:left="80"/>
              <w:spacing w:after="0"/>
              <w:rPr>
                <w:sz w:val="20"/>
                <w:szCs w:val="20"/>
                <w:color w:val="auto"/>
              </w:rPr>
            </w:pPr>
            <w:r>
              <w:rPr>
                <w:rFonts w:ascii="Arial" w:cs="Arial" w:eastAsia="Arial" w:hAnsi="Arial"/>
                <w:sz w:val="18"/>
                <w:szCs w:val="18"/>
                <w:b w:val="1"/>
                <w:bCs w:val="1"/>
                <w:color w:val="auto"/>
              </w:rPr>
              <w:t>Year ended 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Short-term benefits*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Share-based payments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21,174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1,611</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26,178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Short-term benefits includes an incentive plan adopted by the Company in 2021 to reward certain directors and members of senior management with a total of 50 Bitcoins.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CAPITAL MANAGEMENT POLICIES AND PROCEDURES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capital management objectives are to ensure its ability to maximize the return to its shareholders. The Company’s definition of capital includes all components of equity. Capital for the reporting period is summarized in Note 18 and in the consolidated statement of changes in equity. In order to meet its objectives, the Company monitors its capital structure and makes adjustments as required in light of changes in economic conditions and the risk characteristics of the underlying assets. These objectives will be achieved by maintaining a strong capital base so as to maintain investor confidence to sustain future development of the business, maintain a flexible capital structure that optimizes the cost of capital at acceptable risk and preserves the ability to meet financial obligations and ensuring sufficient liquidity to pursue organic growth. In order to maintain or adjust the capital structure, the Company may issue new common shares or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1165860" cy="3086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BITFARMS LTD.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SUBSIDIARIES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2011, Bitfarms Ltd. (Israel) established AU Acquisition VI, LLC (“AU”) which is incorporated in the State of Nevada, USA, and is wholly owned and controlled by the Company. AU is registered as the legal owner of the mineral assets, Hidden Lake and Victorine. Also, in 2011, Bitfarms established Pembroke &amp; Timberland, LLC (“Pembroke”) in the State of Maine, USA, which is also wholly owned and controlled by the Company. Pembroke is registered as the legal owner of the Pembroke mineral asset as described in Note 9d.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2021, Backbone established Backbone Hosting Solutions (USA) Inc. (“Backbone USA”) which is incorporated in the State of Delaware, USA, and is wholly owned and controlled by Backbone.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2021, Backbone established Backbone Paraguay which is incorporated in Asuncion, Paraguay, and is owned and controlled 90% and 10% by Backbone and Bitfarms Ltd., respectively. Backbone established Backbone Argentina which is incorporated in Buenos Aires, Argentina and is wholly owned and controlled by Backbone.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2021, Bitfarms Ltd. established 2872246 Ontario Inc. (“ON”) which is incorporated in the Province of Ontario, Canada, and is wholly owned and controlled by the Company. ON is registered as the legal owner of Backbone Mining Solutions LLC as described in Note 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Company name</w:t>
            </w:r>
          </w:p>
        </w:tc>
        <w:tc>
          <w:tcPr>
            <w:tcW w:w="120" w:type="dxa"/>
            <w:vAlign w:val="bottom"/>
            <w:tcBorders>
              <w:bottom w:val="single" w:sz="8" w:color="CCEEFF"/>
            </w:tcBorders>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 type</w:t>
            </w:r>
          </w:p>
        </w:tc>
        <w:tc>
          <w:tcPr>
            <w:tcW w:w="100" w:type="dxa"/>
            <w:vAlign w:val="bottom"/>
            <w:tcBorders>
              <w:bottom w:val="single" w:sz="8" w:color="CCEEFF"/>
            </w:tcBorders>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Main place of business</w:t>
            </w: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Securities</w:t>
            </w:r>
          </w:p>
        </w:tc>
        <w:tc>
          <w:tcPr>
            <w:tcW w:w="2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94"/>
              </w:rPr>
              <w:t>Equity</w:t>
            </w: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Voting</w:t>
            </w:r>
          </w:p>
        </w:tc>
        <w:tc>
          <w:tcPr>
            <w:tcW w:w="160" w:type="dxa"/>
            <w:vAlign w:val="bottom"/>
            <w:tcBorders>
              <w:bottom w:val="single" w:sz="8" w:color="CCEEFF"/>
            </w:tcBorders>
          </w:tcPr>
          <w:p>
            <w:pPr>
              <w:spacing w:after="0"/>
              <w:rPr>
                <w:sz w:val="20"/>
                <w:szCs w:val="20"/>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AU</w:t>
            </w: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Ordinary shares</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USA</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Pembroke</w:t>
            </w: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Ordinary shares</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USA</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Volta</w:t>
            </w:r>
          </w:p>
        </w:tc>
        <w:tc>
          <w:tcPr>
            <w:tcW w:w="2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Ordinary shares</w:t>
            </w:r>
          </w:p>
        </w:tc>
        <w:tc>
          <w:tcPr>
            <w:tcW w:w="23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CDA</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Backbone</w:t>
            </w: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Ordinary shares</w:t>
            </w: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CDA</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Backbone Argentina</w:t>
            </w:r>
          </w:p>
        </w:tc>
        <w:tc>
          <w:tcPr>
            <w:tcW w:w="2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Ordinary shares</w:t>
            </w:r>
          </w:p>
        </w:tc>
        <w:tc>
          <w:tcPr>
            <w:tcW w:w="23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ARG</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Backbone Paraguay</w:t>
            </w: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Ordinary shares</w:t>
            </w: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PAR</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Backbone Mining</w:t>
            </w:r>
          </w:p>
        </w:tc>
        <w:tc>
          <w:tcPr>
            <w:tcW w:w="2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Ordinary shares</w:t>
            </w: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USA</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ON</w:t>
            </w: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Ordinary shares</w:t>
            </w: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CDA</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8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Backbone USA</w:t>
            </w:r>
          </w:p>
        </w:tc>
        <w:tc>
          <w:tcPr>
            <w:tcW w:w="2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Ordinary shares</w:t>
            </w: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USA</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Excluding the mineral assets with a carrying amount of $7,200, substantially all of the other assets, liabilities, revenues, expenses and cash flows in the consolidated financial statements are those of Backbone, Backbone Argentina, Backbone Paraguay, Backbone Mining and of Volta. See Note 26 for geographic information of revenues and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1165860" cy="3086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113" w:name="page114"/>
    <w:bookmarkEnd w:id="113"/>
    <w:p>
      <w:pPr>
        <w:ind w:left="9860"/>
        <w:spacing w:after="0"/>
        <w:rPr>
          <w:sz w:val="20"/>
          <w:szCs w:val="20"/>
          <w:color w:val="auto"/>
        </w:rPr>
      </w:pPr>
      <w:r>
        <w:rPr>
          <w:rFonts w:ascii="Arial" w:cs="Arial" w:eastAsia="Arial" w:hAnsi="Arial"/>
          <w:sz w:val="17"/>
          <w:szCs w:val="17"/>
          <w:b w:val="1"/>
          <w:bCs w:val="1"/>
          <w:color w:val="auto"/>
        </w:rPr>
        <w:t>BITFARMS LTD.</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NET EARNINGS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number of shares and income (loss) used in the computation of net earnings (loss) per share: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5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Net income</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1"/>
              <w:spacing w:after="0" w:line="198" w:lineRule="exact"/>
              <w:rPr>
                <w:sz w:val="20"/>
                <w:szCs w:val="20"/>
                <w:color w:val="auto"/>
              </w:rPr>
            </w:pPr>
            <w:r>
              <w:rPr>
                <w:rFonts w:ascii="Arial" w:cs="Arial" w:eastAsia="Arial" w:hAnsi="Arial"/>
                <w:sz w:val="18"/>
                <w:szCs w:val="18"/>
                <w:b w:val="1"/>
                <w:bCs w:val="1"/>
                <w:color w:val="auto"/>
                <w:w w:val="90"/>
              </w:rPr>
              <w:t>Net income</w:t>
            </w:r>
          </w:p>
        </w:tc>
        <w:tc>
          <w:tcPr>
            <w:tcW w:w="100" w:type="dxa"/>
            <w:vAlign w:val="bottom"/>
            <w:gridSpan w:val="2"/>
          </w:tcPr>
          <w:p>
            <w:pPr>
              <w:spacing w:after="0"/>
              <w:rPr>
                <w:sz w:val="17"/>
                <w:szCs w:val="17"/>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attributable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attributable</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the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to the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shareholders</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shareholders</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average shares</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of the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2"/>
              </w:rPr>
              <w:t>shares</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of the</w:t>
            </w:r>
          </w:p>
        </w:tc>
      </w:tr>
      <w:tr>
        <w:trPr>
          <w:trHeight w:val="241"/>
        </w:trPr>
        <w:tc>
          <w:tcPr>
            <w:tcW w:w="598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outstanding</w:t>
            </w: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Company</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outstanding</w:t>
            </w:r>
          </w:p>
        </w:tc>
        <w:tc>
          <w:tcPr>
            <w:tcW w:w="100" w:type="dxa"/>
            <w:vAlign w:val="bottom"/>
          </w:tcPr>
          <w:p>
            <w:pPr>
              <w:spacing w:after="0"/>
              <w:rPr>
                <w:sz w:val="20"/>
                <w:szCs w:val="20"/>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Company</w:t>
            </w:r>
          </w:p>
        </w:tc>
      </w:tr>
      <w:tr>
        <w:trPr>
          <w:trHeight w:val="198"/>
        </w:trPr>
        <w:tc>
          <w:tcPr>
            <w:tcW w:w="5980" w:type="dxa"/>
            <w:vAlign w:val="bottom"/>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3"/>
              </w:rPr>
              <w:t>Number of</w:t>
            </w: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 (in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 (in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thousands)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thousands)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shares for the calculation of basic earnings per share</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157,652</w:t>
            </w:r>
          </w:p>
        </w:tc>
        <w:tc>
          <w:tcPr>
            <w:tcW w:w="2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84,915</w:t>
            </w:r>
          </w:p>
        </w:tc>
        <w:tc>
          <w:tcPr>
            <w:tcW w:w="2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The effect of dilutive potential ordinary shares</w:t>
            </w: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11,741</w:t>
            </w: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tcPr>
          <w:p>
            <w:pPr>
              <w:spacing w:after="0"/>
              <w:rPr>
                <w:sz w:val="17"/>
                <w:szCs w:val="17"/>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shares for the calculation of diluted earnings per share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169,393</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84,915</w:t>
            </w: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75"/>
        </w:trPr>
        <w:tc>
          <w:tcPr>
            <w:tcW w:w="59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9"/>
              </w:rPr>
              <w:t>Net income (loss) for the calculation of basic and diluted earnings (loss) per</w:t>
            </w:r>
          </w:p>
        </w:tc>
        <w:tc>
          <w:tcPr>
            <w:tcW w:w="112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r>
      <w:tr>
        <w:trPr>
          <w:trHeight w:val="278"/>
        </w:trPr>
        <w:tc>
          <w:tcPr>
            <w:tcW w:w="5980" w:type="dxa"/>
            <w:vAlign w:val="bottom"/>
          </w:tcPr>
          <w:p>
            <w:pPr>
              <w:ind w:left="180"/>
              <w:spacing w:after="0"/>
              <w:rPr>
                <w:sz w:val="20"/>
                <w:szCs w:val="20"/>
                <w:color w:val="auto"/>
              </w:rPr>
            </w:pPr>
            <w:r>
              <w:rPr>
                <w:rFonts w:ascii="Arial" w:cs="Arial" w:eastAsia="Arial" w:hAnsi="Arial"/>
                <w:sz w:val="18"/>
                <w:szCs w:val="18"/>
                <w:color w:val="auto"/>
              </w:rPr>
              <w:t>share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22,130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40"/>
              <w:spacing w:after="0" w:line="271" w:lineRule="exact"/>
              <w:rPr>
                <w:sz w:val="20"/>
                <w:szCs w:val="20"/>
                <w:color w:val="auto"/>
              </w:rPr>
            </w:pPr>
            <w:r>
              <w:rPr>
                <w:rFonts w:ascii="Arial" w:cs="Arial" w:eastAsia="Arial" w:hAnsi="Arial"/>
                <w:sz w:val="17"/>
                <w:szCs w:val="17"/>
                <w:color w:val="auto"/>
              </w:rPr>
              <w:t>(16,289</w:t>
            </w:r>
            <w:r>
              <w:rPr>
                <w:rFonts w:ascii="Arial" w:cs="Arial" w:eastAsia="Arial" w:hAnsi="Arial"/>
                <w:sz w:val="31"/>
                <w:szCs w:val="31"/>
                <w:color w:val="auto"/>
                <w:vertAlign w:val="superscript"/>
              </w:rPr>
              <w:t>)</w:t>
            </w: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year ended December 31, 2020, potentially dilutive securities have not been included in the calculation of diluted earnings (loss) per share because their effect is antidilutive. The additional potentially dilutive securities that would have been included in the calculation for diluted earnings per share had their effect not been anti-dilutive, for the year ended December 31, 2020, would have totalled approximately 385,000.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281"/>
              <w:spacing w:after="0"/>
              <w:rPr>
                <w:sz w:val="20"/>
                <w:szCs w:val="20"/>
                <w:color w:val="auto"/>
              </w:rPr>
            </w:pPr>
            <w:r>
              <w:rPr>
                <w:rFonts w:ascii="Arial" w:cs="Arial" w:eastAsia="Arial" w:hAnsi="Arial"/>
                <w:sz w:val="18"/>
                <w:szCs w:val="18"/>
                <w:b w:val="1"/>
                <w:bCs w:val="1"/>
                <w:color w:val="auto"/>
                <w:w w:val="92"/>
              </w:rPr>
              <w:t>Year ended 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16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0.14</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68"/>
        </w:trPr>
        <w:tc>
          <w:tcPr>
            <w:tcW w:w="868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80" w:type="dxa"/>
            <w:vAlign w:val="bottom"/>
            <w:gridSpan w:val="2"/>
            <w:shd w:val="clear" w:color="auto" w:fill="CCEEFF"/>
          </w:tcPr>
          <w:p>
            <w:pPr>
              <w:jc w:val="right"/>
              <w:ind w:right="21"/>
              <w:spacing w:after="0" w:line="68" w:lineRule="exact"/>
              <w:rPr>
                <w:sz w:val="20"/>
                <w:szCs w:val="20"/>
                <w:color w:val="auto"/>
              </w:rPr>
            </w:pPr>
            <w:r>
              <w:rPr>
                <w:rFonts w:ascii="Arial" w:cs="Arial" w:eastAsia="Arial" w:hAnsi="Arial"/>
                <w:sz w:val="7"/>
                <w:szCs w:val="7"/>
                <w:color w:val="auto"/>
              </w:rPr>
              <w:t>(0.19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line="155"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35"/>
        </w:trPr>
        <w:tc>
          <w:tcPr>
            <w:tcW w:w="8680" w:type="dxa"/>
            <w:vAlign w:val="bottom"/>
            <w:vMerge w:val="restart"/>
          </w:tcPr>
          <w:p>
            <w:pPr>
              <w:spacing w:after="0" w:line="203" w:lineRule="exact"/>
              <w:rPr>
                <w:sz w:val="20"/>
                <w:szCs w:val="20"/>
                <w:color w:val="auto"/>
              </w:rPr>
            </w:pPr>
            <w:r>
              <w:rPr>
                <w:rFonts w:ascii="Arial" w:cs="Arial" w:eastAsia="Arial" w:hAnsi="Arial"/>
                <w:sz w:val="18"/>
                <w:szCs w:val="18"/>
                <w:color w:val="auto"/>
              </w:rPr>
              <w:t>Diluted earnings (loss) per share</w:t>
            </w:r>
          </w:p>
        </w:tc>
        <w:tc>
          <w:tcPr>
            <w:tcW w:w="160" w:type="dxa"/>
            <w:vAlign w:val="bottom"/>
          </w:tcPr>
          <w:p>
            <w:pPr>
              <w:spacing w:after="0"/>
              <w:rPr>
                <w:sz w:val="11"/>
                <w:szCs w:val="11"/>
                <w:color w:val="auto"/>
              </w:rPr>
            </w:pPr>
          </w:p>
        </w:tc>
        <w:tc>
          <w:tcPr>
            <w:tcW w:w="1180" w:type="dxa"/>
            <w:vAlign w:val="bottom"/>
            <w:gridSpan w:val="2"/>
            <w:vMerge w:val="restart"/>
          </w:tcPr>
          <w:p>
            <w:pPr>
              <w:jc w:val="right"/>
              <w:ind w:right="220"/>
              <w:spacing w:after="0" w:line="203" w:lineRule="exact"/>
              <w:rPr>
                <w:sz w:val="20"/>
                <w:szCs w:val="20"/>
                <w:color w:val="auto"/>
              </w:rPr>
            </w:pPr>
            <w:r>
              <w:rPr>
                <w:rFonts w:ascii="Arial" w:cs="Arial" w:eastAsia="Arial" w:hAnsi="Arial"/>
                <w:sz w:val="18"/>
                <w:szCs w:val="18"/>
                <w:color w:val="auto"/>
              </w:rPr>
              <w:t>0.13</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86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gridSpan w:val="2"/>
          </w:tcPr>
          <w:p>
            <w:pPr>
              <w:jc w:val="right"/>
              <w:ind w:right="21"/>
              <w:spacing w:after="0" w:line="68" w:lineRule="exact"/>
              <w:rPr>
                <w:sz w:val="20"/>
                <w:szCs w:val="20"/>
                <w:color w:val="auto"/>
              </w:rPr>
            </w:pPr>
            <w:r>
              <w:rPr>
                <w:rFonts w:ascii="Arial" w:cs="Arial" w:eastAsia="Arial" w:hAnsi="Arial"/>
                <w:sz w:val="7"/>
                <w:szCs w:val="7"/>
                <w:color w:val="auto"/>
              </w:rPr>
              <w:t>(0.19</w:t>
            </w: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NOTE 24: SHARE-BASED PAYMENT</w:t>
            </w: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w w:val="91"/>
              </w:rPr>
              <w:t>The share-based payment expense recognized in the financial statements for employee services received is as follows: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right"/>
              <w:ind w:right="741"/>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Equity-settled share-based payment plans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22,585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165860" cy="3086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114" w:name="page115"/>
    <w:bookmarkEnd w:id="114"/>
    <w:p>
      <w:pPr>
        <w:ind w:left="9860"/>
        <w:spacing w:after="0"/>
        <w:rPr>
          <w:sz w:val="20"/>
          <w:szCs w:val="20"/>
          <w:color w:val="auto"/>
        </w:rPr>
      </w:pPr>
      <w:r>
        <w:rPr>
          <w:rFonts w:ascii="Arial" w:cs="Arial" w:eastAsia="Arial" w:hAnsi="Arial"/>
          <w:sz w:val="17"/>
          <w:szCs w:val="17"/>
          <w:b w:val="1"/>
          <w:bCs w:val="1"/>
          <w:color w:val="auto"/>
        </w:rPr>
        <w:t>BITFARMS LTD.</w:t>
      </w:r>
    </w:p>
    <w:p>
      <w:pPr>
        <w:spacing w:after="0" w:line="2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SHARE-BASED PAYMENT (Cont.)</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share-based payment transactions entered into between the Company and its employees and service providers during the year ended December 31, 2021 are described below. During the year ended December 31, 2021, the Board of Directors approved stock option grants to purchase 10,775,000 common shares in accordance with the stock option plans adopted on June 20, 2019 and May 18, 2021. All options issued to employees become exercisable when they vest and can be exercised for a period of 5 years from the date of the grant. In addition, the Board of Directors approved the grant of 200,000 Restricted Stock Units (RSUs) to certain members of senior management which vest ratably, on an annual basis, over a three-year period. The value of the RSUs on the grant date was $4.05 per unit.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inputs used to value the option grants using the Black-Scholes model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March,</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June 2,</w:t>
            </w:r>
          </w:p>
        </w:tc>
        <w:tc>
          <w:tcPr>
            <w:tcW w:w="120" w:type="dxa"/>
            <w:vAlign w:val="bottom"/>
          </w:tcPr>
          <w:p>
            <w:pPr>
              <w:spacing w:after="0"/>
              <w:rPr>
                <w:sz w:val="18"/>
                <w:szCs w:val="18"/>
                <w:color w:val="auto"/>
              </w:rPr>
            </w:pPr>
          </w:p>
        </w:tc>
        <w:tc>
          <w:tcPr>
            <w:tcW w:w="126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w w:val="99"/>
              </w:rPr>
              <w:t>June 29,</w:t>
            </w:r>
          </w:p>
        </w:tc>
        <w:tc>
          <w:tcPr>
            <w:tcW w:w="120" w:type="dxa"/>
            <w:vAlign w:val="bottom"/>
          </w:tcPr>
          <w:p>
            <w:pPr>
              <w:spacing w:after="0"/>
              <w:rPr>
                <w:sz w:val="18"/>
                <w:szCs w:val="18"/>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Nov. 19,</w:t>
            </w:r>
          </w:p>
        </w:tc>
        <w:tc>
          <w:tcPr>
            <w:tcW w:w="100" w:type="dxa"/>
            <w:vAlign w:val="bottom"/>
          </w:tcPr>
          <w:p>
            <w:pPr>
              <w:spacing w:after="0"/>
              <w:rPr>
                <w:sz w:val="18"/>
                <w:szCs w:val="18"/>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Dec. 8,</w:t>
            </w:r>
          </w:p>
        </w:tc>
        <w:tc>
          <w:tcPr>
            <w:tcW w:w="40" w:type="dxa"/>
            <w:vAlign w:val="bottom"/>
          </w:tcPr>
          <w:p>
            <w:pPr>
              <w:spacing w:after="0"/>
              <w:rPr>
                <w:sz w:val="18"/>
                <w:szCs w:val="18"/>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Dec. 24,</w:t>
            </w:r>
          </w:p>
        </w:tc>
      </w:tr>
      <w:tr>
        <w:trPr>
          <w:trHeight w:val="241"/>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Grant date</w:t>
            </w: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1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Expected share price volatility (%)</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1380" w:type="dxa"/>
            <w:vAlign w:val="bottom"/>
            <w:gridSpan w:val="4"/>
          </w:tcPr>
          <w:p>
            <w:pPr>
              <w:jc w:val="right"/>
              <w:ind w:right="120"/>
              <w:spacing w:after="0"/>
              <w:rPr>
                <w:sz w:val="20"/>
                <w:szCs w:val="20"/>
                <w:color w:val="auto"/>
              </w:rPr>
            </w:pPr>
            <w:r>
              <w:rPr>
                <w:rFonts w:ascii="Arial" w:cs="Arial" w:eastAsia="Arial" w:hAnsi="Arial"/>
                <w:sz w:val="18"/>
                <w:szCs w:val="18"/>
                <w:color w:val="auto"/>
              </w:rPr>
              <w:t>139%</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8"/>
                <w:szCs w:val="18"/>
                <w:color w:val="auto"/>
              </w:rPr>
            </w:pPr>
          </w:p>
        </w:tc>
        <w:tc>
          <w:tcPr>
            <w:tcW w:w="1380" w:type="dxa"/>
            <w:vAlign w:val="bottom"/>
            <w:gridSpan w:val="4"/>
          </w:tcPr>
          <w:p>
            <w:pPr>
              <w:jc w:val="right"/>
              <w:ind w:right="120"/>
              <w:spacing w:after="0"/>
              <w:rPr>
                <w:sz w:val="20"/>
                <w:szCs w:val="20"/>
                <w:color w:val="auto"/>
              </w:rPr>
            </w:pPr>
            <w:r>
              <w:rPr>
                <w:rFonts w:ascii="Arial" w:cs="Arial" w:eastAsia="Arial" w:hAnsi="Arial"/>
                <w:sz w:val="18"/>
                <w:szCs w:val="18"/>
                <w:color w:val="auto"/>
              </w:rPr>
              <w:t>140%</w:t>
            </w: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139%</w:t>
            </w: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0.30%</w:t>
            </w:r>
          </w:p>
        </w:tc>
        <w:tc>
          <w:tcPr>
            <w:tcW w:w="13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0.47%</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0.99%</w:t>
            </w: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0.97%</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Expected life of stock options (years)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price (CAD)</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6.39</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5.45</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5.01</w:t>
            </w: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9.81</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18"/>
                <w:szCs w:val="18"/>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Exercise price (CAD)</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6.39</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5.45</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5.01</w:t>
            </w:r>
          </w:p>
        </w:tc>
        <w:tc>
          <w:tcPr>
            <w:tcW w:w="14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9.81</w:t>
            </w:r>
          </w:p>
        </w:tc>
        <w:tc>
          <w:tcPr>
            <w:tcW w:w="1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8.13</w:t>
            </w:r>
          </w:p>
        </w:tc>
        <w:tc>
          <w:tcPr>
            <w:tcW w:w="18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8"/>
                <w:szCs w:val="18"/>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options (USD)</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3.44</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5.97</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4.93</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8"/>
                <w:szCs w:val="18"/>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Vesting period (years)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Quantity of options granted</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65,000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364,050</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7,355,950</w:t>
            </w: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120,000</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2,750,000</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120,000</w:t>
            </w:r>
          </w:p>
        </w:tc>
        <w:tc>
          <w:tcPr>
            <w:tcW w:w="100" w:type="dxa"/>
            <w:vAlign w:val="bottom"/>
            <w:shd w:val="clear" w:color="auto" w:fill="CCEEFF"/>
          </w:tcPr>
          <w:p>
            <w:pPr>
              <w:spacing w:after="0"/>
              <w:rPr>
                <w:sz w:val="18"/>
                <w:szCs w:val="18"/>
                <w:color w:val="auto"/>
              </w:rPr>
            </w:pPr>
          </w:p>
        </w:tc>
      </w:tr>
      <w:tr>
        <w:trPr>
          <w:trHeight w:val="432"/>
        </w:trPr>
        <w:tc>
          <w:tcPr>
            <w:tcW w:w="7240" w:type="dxa"/>
            <w:vAlign w:val="bottom"/>
            <w:gridSpan w:val="10"/>
          </w:tcPr>
          <w:p>
            <w:pPr>
              <w:spacing w:after="0"/>
              <w:rPr>
                <w:sz w:val="20"/>
                <w:szCs w:val="20"/>
                <w:color w:val="auto"/>
              </w:rPr>
            </w:pPr>
            <w:r>
              <w:rPr>
                <w:rFonts w:ascii="Arial" w:cs="Arial" w:eastAsia="Arial" w:hAnsi="Arial"/>
                <w:sz w:val="18"/>
                <w:szCs w:val="18"/>
                <w:color w:val="auto"/>
                <w:w w:val="99"/>
              </w:rPr>
              <w:t>Details of the outstanding stock options as of December 31, 2021 and 2020, are as follows:</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6"/>
          </w:tcPr>
          <w:p>
            <w:pPr>
              <w:jc w:val="right"/>
              <w:ind w:right="81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6"/>
          </w:tcPr>
          <w:p>
            <w:pPr>
              <w:jc w:val="right"/>
              <w:ind w:right="89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Exercise Price</w:t>
            </w:r>
          </w:p>
        </w:tc>
        <w:tc>
          <w:tcPr>
            <w:tcW w:w="10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Number of</w:t>
            </w:r>
          </w:p>
        </w:tc>
        <w:tc>
          <w:tcPr>
            <w:tcW w:w="4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Exercise Price</w:t>
            </w:r>
          </w:p>
        </w:tc>
      </w:tr>
      <w:tr>
        <w:trPr>
          <w:trHeight w:val="241"/>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8"/>
              </w:rPr>
              <w:t>($CAD)</w:t>
            </w:r>
          </w:p>
        </w:tc>
        <w:tc>
          <w:tcPr>
            <w:tcW w:w="100" w:type="dxa"/>
            <w:vAlign w:val="bottom"/>
          </w:tcPr>
          <w:p>
            <w:pPr>
              <w:spacing w:after="0"/>
              <w:rPr>
                <w:sz w:val="20"/>
                <w:szCs w:val="20"/>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Options</w:t>
            </w:r>
          </w:p>
        </w:tc>
        <w:tc>
          <w:tcPr>
            <w:tcW w:w="40" w:type="dxa"/>
            <w:vAlign w:val="bottom"/>
          </w:tcPr>
          <w:p>
            <w:pPr>
              <w:spacing w:after="0"/>
              <w:rPr>
                <w:sz w:val="20"/>
                <w:szCs w:val="20"/>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8"/>
              </w:rPr>
              <w:t>($CAD)</w:t>
            </w:r>
          </w:p>
        </w:tc>
      </w:tr>
      <w:tr>
        <w:trPr>
          <w:trHeight w:val="216"/>
        </w:trPr>
        <w:tc>
          <w:tcPr>
            <w:tcW w:w="3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January 1,</w:t>
            </w:r>
          </w:p>
        </w:tc>
        <w:tc>
          <w:tcPr>
            <w:tcW w:w="1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8,100,221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8,345,000</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4"/>
          </w:tcPr>
          <w:p>
            <w:pPr>
              <w:jc w:val="right"/>
              <w:ind w:right="140"/>
              <w:spacing w:after="0"/>
              <w:rPr>
                <w:sz w:val="20"/>
                <w:szCs w:val="20"/>
                <w:color w:val="auto"/>
              </w:rPr>
            </w:pPr>
            <w:r>
              <w:rPr>
                <w:rFonts w:ascii="Arial" w:cs="Arial" w:eastAsia="Arial" w:hAnsi="Arial"/>
                <w:sz w:val="18"/>
                <w:szCs w:val="18"/>
                <w:color w:val="auto"/>
              </w:rPr>
              <w:t>10,775,000</w:t>
            </w:r>
          </w:p>
        </w:tc>
        <w:tc>
          <w:tcPr>
            <w:tcW w:w="1360" w:type="dxa"/>
            <w:vAlign w:val="bottom"/>
            <w:gridSpan w:val="4"/>
          </w:tcPr>
          <w:p>
            <w:pPr>
              <w:jc w:val="right"/>
              <w:ind w:right="120"/>
              <w:spacing w:after="0"/>
              <w:rPr>
                <w:sz w:val="20"/>
                <w:szCs w:val="20"/>
                <w:color w:val="auto"/>
              </w:rPr>
            </w:pPr>
            <w:r>
              <w:rPr>
                <w:rFonts w:ascii="Arial" w:cs="Arial" w:eastAsia="Arial" w:hAnsi="Arial"/>
                <w:sz w:val="18"/>
                <w:szCs w:val="18"/>
                <w:color w:val="auto"/>
              </w:rPr>
              <w:t>5.91</w:t>
            </w:r>
          </w:p>
        </w:tc>
        <w:tc>
          <w:tcPr>
            <w:tcW w:w="1380" w:type="dxa"/>
            <w:vAlign w:val="bottom"/>
            <w:gridSpan w:val="4"/>
          </w:tcPr>
          <w:p>
            <w:pPr>
              <w:jc w:val="right"/>
              <w:ind w:right="180"/>
              <w:spacing w:after="0"/>
              <w:rPr>
                <w:sz w:val="20"/>
                <w:szCs w:val="20"/>
                <w:color w:val="auto"/>
              </w:rPr>
            </w:pPr>
            <w:r>
              <w:rPr>
                <w:rFonts w:ascii="Arial" w:cs="Arial" w:eastAsia="Arial" w:hAnsi="Arial"/>
                <w:sz w:val="18"/>
                <w:szCs w:val="18"/>
                <w:color w:val="auto"/>
              </w:rPr>
              <w:t>5,224,600</w:t>
            </w: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0.65</w:t>
            </w: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(6,073,585)</w:t>
            </w:r>
          </w:p>
        </w:tc>
        <w:tc>
          <w:tcPr>
            <w:tcW w:w="1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13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(2,714,379)</w:t>
            </w: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0.75</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8"/>
                <w:szCs w:val="18"/>
                <w:color w:val="auto"/>
              </w:rPr>
              <w:t>(251,225)</w:t>
            </w:r>
          </w:p>
        </w:tc>
        <w:tc>
          <w:tcPr>
            <w:tcW w:w="1360" w:type="dxa"/>
            <w:vAlign w:val="bottom"/>
            <w:gridSpan w:val="4"/>
          </w:tcPr>
          <w:p>
            <w:pPr>
              <w:jc w:val="right"/>
              <w:ind w:right="120"/>
              <w:spacing w:after="0"/>
              <w:rPr>
                <w:sz w:val="20"/>
                <w:szCs w:val="20"/>
                <w:color w:val="auto"/>
              </w:rPr>
            </w:pPr>
            <w:r>
              <w:rPr>
                <w:rFonts w:ascii="Arial" w:cs="Arial" w:eastAsia="Arial" w:hAnsi="Arial"/>
                <w:sz w:val="18"/>
                <w:szCs w:val="18"/>
                <w:color w:val="auto"/>
              </w:rPr>
              <w:t>3.41</w:t>
            </w:r>
          </w:p>
        </w:tc>
        <w:tc>
          <w:tcPr>
            <w:tcW w:w="1380" w:type="dxa"/>
            <w:vAlign w:val="bottom"/>
            <w:gridSpan w:val="4"/>
          </w:tcPr>
          <w:p>
            <w:pPr>
              <w:jc w:val="right"/>
              <w:ind w:right="120"/>
              <w:spacing w:after="0"/>
              <w:rPr>
                <w:sz w:val="20"/>
                <w:szCs w:val="20"/>
                <w:color w:val="auto"/>
              </w:rPr>
            </w:pPr>
            <w:r>
              <w:rPr>
                <w:rFonts w:ascii="Arial" w:cs="Arial" w:eastAsia="Arial" w:hAnsi="Arial"/>
                <w:sz w:val="18"/>
                <w:szCs w:val="18"/>
                <w:color w:val="auto"/>
              </w:rPr>
              <w:t>(1,860,000)</w:t>
            </w: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1.10</w:t>
            </w:r>
          </w:p>
        </w:tc>
      </w:tr>
      <w:tr>
        <w:trPr>
          <w:trHeight w:val="250"/>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Expired</w:t>
            </w:r>
          </w:p>
        </w:tc>
        <w:tc>
          <w:tcPr>
            <w:tcW w:w="1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(3,678)</w:t>
            </w:r>
          </w:p>
        </w:tc>
        <w:tc>
          <w:tcPr>
            <w:tcW w:w="1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0.99</w:t>
            </w:r>
          </w:p>
        </w:tc>
        <w:tc>
          <w:tcPr>
            <w:tcW w:w="13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(895,000)</w:t>
            </w: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0.96</w:t>
            </w:r>
          </w:p>
        </w:tc>
      </w:tr>
      <w:tr>
        <w:trPr>
          <w:trHeight w:val="210"/>
        </w:trPr>
        <w:tc>
          <w:tcPr>
            <w:tcW w:w="312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Outstanding, December 31,</w:t>
            </w:r>
          </w:p>
        </w:tc>
        <w:tc>
          <w:tcPr>
            <w:tcW w:w="110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12,546,733</w:t>
            </w:r>
          </w:p>
        </w:tc>
        <w:tc>
          <w:tcPr>
            <w:tcW w:w="1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5.06</w:t>
            </w: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8,100,221</w:t>
            </w:r>
          </w:p>
        </w:tc>
        <w:tc>
          <w:tcPr>
            <w:tcW w:w="18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0.72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December 31,</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5,675,558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4,717,551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contractual life of the stock options as at December 31, 2021 was 4.3 years (December 31, 2020: 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165860" cy="3086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BITFARMS LTD.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ADDITIONAL DETAILS TO THE STATEMENT OF PROFIT OR LOSS AND COMPREHENSIVE PROFIT OR LOSS</w:t>
      </w:r>
    </w:p>
    <w:p>
      <w:pPr>
        <w:spacing w:after="0" w:line="229" w:lineRule="exact"/>
        <w:rPr>
          <w:sz w:val="20"/>
          <w:szCs w:val="20"/>
          <w:color w:val="auto"/>
        </w:rPr>
      </w:pPr>
    </w:p>
    <w:p>
      <w:pPr>
        <w:ind w:left="340" w:hanging="332"/>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Additional details to the components of cost of sales expenses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ind w:left="80"/>
              <w:spacing w:after="0"/>
              <w:rPr>
                <w:sz w:val="20"/>
                <w:szCs w:val="20"/>
                <w:color w:val="auto"/>
              </w:rPr>
            </w:pPr>
            <w:r>
              <w:rPr>
                <w:rFonts w:ascii="Arial" w:cs="Arial" w:eastAsia="Arial" w:hAnsi="Arial"/>
                <w:sz w:val="18"/>
                <w:szCs w:val="18"/>
                <w:b w:val="1"/>
                <w:bCs w:val="1"/>
                <w:color w:val="auto"/>
              </w:rPr>
              <w:t>Year ended 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Energy and infrastructure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24,476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11,486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Purchases of electrical components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w:t>
            </w: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Electrician salaries and payroll taxes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1,727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907</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58,371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31,830</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Additional details to the components of general and administrative expenses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ind w:left="80"/>
              <w:spacing w:after="0"/>
              <w:rPr>
                <w:sz w:val="20"/>
                <w:szCs w:val="20"/>
                <w:color w:val="auto"/>
              </w:rPr>
            </w:pPr>
            <w:r>
              <w:rPr>
                <w:rFonts w:ascii="Arial" w:cs="Arial" w:eastAsia="Arial" w:hAnsi="Arial"/>
                <w:sz w:val="18"/>
                <w:szCs w:val="18"/>
                <w:b w:val="1"/>
                <w:bCs w:val="1"/>
                <w:color w:val="auto"/>
              </w:rPr>
              <w:t>Year ended 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Salaries and share based payment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Professional services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6,985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1,962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Advertising and promotion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Insurance and other</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4,920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Travel, motor vehicle and meals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Hosting and telecommunications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left="340" w:hanging="332"/>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Additional details to the components of net financial expenses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2"/>
              </w:rPr>
              <w:t>Year ended 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on revaluation of warrants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Loss (gain) on embedded derivative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2,641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(973)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Gain on disposition of marketable securities*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Loss on currency exchange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647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on long-term debt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on lease liabilities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 issuance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Other financial expenses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ind w:left="340" w:hanging="332"/>
        <w:spacing w:after="0" w:line="259" w:lineRule="auto"/>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During the year ended December 31, 2021, the Company funded its expansion in Argentina through the acquisition of marketable securities and in-kind contribution of these securities to a subsidiary in Argentina that it controls. The subsequent disposition of these marketable securities in exchange for Argentine Pesos gave rise to a gain as the amount received in Pesos exceeds the amount of Pesos the Company would have received from a direct foreign currency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1165860" cy="3086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BITFARMS LTD.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NOTE 26: GEOGRAPHICAL INFORMATION</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3"/>
          </w:tcPr>
          <w:p>
            <w:pPr>
              <w:spacing w:after="0"/>
              <w:rPr>
                <w:sz w:val="20"/>
                <w:szCs w:val="20"/>
                <w:color w:val="auto"/>
              </w:rPr>
            </w:pPr>
            <w:r>
              <w:rPr>
                <w:rFonts w:ascii="Arial" w:cs="Arial" w:eastAsia="Arial" w:hAnsi="Arial"/>
                <w:sz w:val="18"/>
                <w:szCs w:val="18"/>
                <w:color w:val="auto"/>
              </w:rPr>
              <w:t>a.  Revenues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29"/>
        </w:trPr>
        <w:tc>
          <w:tcPr>
            <w:tcW w:w="2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44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57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Canada</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3"/>
          </w:tcPr>
          <w:p>
            <w:pPr>
              <w:spacing w:after="0"/>
              <w:rPr>
                <w:sz w:val="20"/>
                <w:szCs w:val="20"/>
                <w:color w:val="auto"/>
              </w:rPr>
            </w:pPr>
            <w:r>
              <w:rPr>
                <w:rFonts w:ascii="Arial" w:cs="Arial" w:eastAsia="Arial" w:hAnsi="Arial"/>
                <w:sz w:val="18"/>
                <w:szCs w:val="18"/>
                <w:color w:val="auto"/>
              </w:rPr>
              <w:t>USA</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16,226</w:t>
            </w:r>
          </w:p>
        </w:tc>
        <w:tc>
          <w:tcPr>
            <w:tcW w:w="0" w:type="dxa"/>
            <w:vAlign w:val="bottom"/>
          </w:tcPr>
          <w:p>
            <w:pPr>
              <w:spacing w:after="0"/>
              <w:rPr>
                <w:sz w:val="1"/>
                <w:szCs w:val="1"/>
                <w:color w:val="auto"/>
              </w:rPr>
            </w:pPr>
          </w:p>
        </w:tc>
      </w:tr>
      <w:tr>
        <w:trPr>
          <w:trHeight w:val="216"/>
        </w:trPr>
        <w:tc>
          <w:tcPr>
            <w:tcW w:w="2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80" w:type="dxa"/>
            <w:vAlign w:val="bottom"/>
            <w:gridSpan w:val="3"/>
          </w:tcPr>
          <w:p>
            <w:pPr>
              <w:spacing w:after="0"/>
              <w:rPr>
                <w:sz w:val="20"/>
                <w:szCs w:val="20"/>
                <w:color w:val="auto"/>
              </w:rPr>
            </w:pPr>
            <w:r>
              <w:rPr>
                <w:rFonts w:ascii="Arial" w:cs="Arial" w:eastAsia="Arial" w:hAnsi="Arial"/>
                <w:sz w:val="18"/>
                <w:szCs w:val="18"/>
                <w:color w:val="auto"/>
              </w:rPr>
              <w:t>b.  Property, Plant And Equipment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63"/>
        </w:trPr>
        <w:tc>
          <w:tcPr>
            <w:tcW w:w="244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57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Canada</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USA</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51,672</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Argentina</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36"/>
        </w:trPr>
        <w:tc>
          <w:tcPr>
            <w:tcW w:w="8680" w:type="dxa"/>
            <w:vAlign w:val="bottom"/>
            <w:gridSpan w:val="3"/>
          </w:tcPr>
          <w:p>
            <w:pPr>
              <w:spacing w:after="0"/>
              <w:rPr>
                <w:sz w:val="20"/>
                <w:szCs w:val="20"/>
                <w:color w:val="auto"/>
              </w:rPr>
            </w:pPr>
            <w:r>
              <w:rPr>
                <w:rFonts w:ascii="Arial" w:cs="Arial" w:eastAsia="Arial" w:hAnsi="Arial"/>
                <w:sz w:val="18"/>
                <w:szCs w:val="18"/>
                <w:color w:val="auto"/>
              </w:rPr>
              <w:t>Paraguay</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NOTE 27: ADDITIONAL DETAILS TO THE STATEMENT OF CASH FLOWS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2"/>
              </w:rPr>
              <w:t>Year ended December 31,</w:t>
            </w:r>
          </w:p>
        </w:tc>
        <w:tc>
          <w:tcPr>
            <w:tcW w:w="0" w:type="dxa"/>
            <w:vAlign w:val="bottom"/>
          </w:tcPr>
          <w:p>
            <w:pPr>
              <w:spacing w:after="0"/>
              <w:rPr>
                <w:sz w:val="1"/>
                <w:szCs w:val="1"/>
                <w:color w:val="auto"/>
              </w:rPr>
            </w:pPr>
          </w:p>
        </w:tc>
      </w:tr>
      <w:tr>
        <w:trPr>
          <w:trHeight w:val="236"/>
        </w:trPr>
        <w:tc>
          <w:tcPr>
            <w:tcW w:w="8680" w:type="dxa"/>
            <w:vAlign w:val="bottom"/>
            <w:gridSpan w:val="3"/>
            <w:vMerge w:val="restart"/>
          </w:tcPr>
          <w:p>
            <w:pPr>
              <w:spacing w:after="0"/>
              <w:rPr>
                <w:sz w:val="20"/>
                <w:szCs w:val="20"/>
                <w:color w:val="auto"/>
              </w:rPr>
            </w:pPr>
            <w:r>
              <w:rPr>
                <w:rFonts w:ascii="Arial" w:cs="Arial" w:eastAsia="Arial" w:hAnsi="Arial"/>
                <w:sz w:val="18"/>
                <w:szCs w:val="18"/>
                <w:color w:val="auto"/>
              </w:rPr>
              <w:t>Changes in working capital components:</w:t>
            </w: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86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4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 trade receivables, net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Decrease (increase) in other current assets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(4,703)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electrical component inventory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Decrease (increase) in long-term deposits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trade payables and accrued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9,244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7"/>
        </w:trPr>
        <w:tc>
          <w:tcPr>
            <w:tcW w:w="8680" w:type="dxa"/>
            <w:vAlign w:val="bottom"/>
            <w:gridSpan w:val="3"/>
          </w:tcPr>
          <w:p>
            <w:pPr>
              <w:spacing w:after="0"/>
              <w:rPr>
                <w:sz w:val="20"/>
                <w:szCs w:val="20"/>
                <w:color w:val="auto"/>
              </w:rPr>
            </w:pPr>
            <w:r>
              <w:rPr>
                <w:rFonts w:ascii="Arial" w:cs="Arial" w:eastAsia="Arial" w:hAnsi="Arial"/>
                <w:sz w:val="18"/>
                <w:szCs w:val="18"/>
                <w:color w:val="auto"/>
              </w:rPr>
              <w:t>Increase in taxes payable</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11,777</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16"/>
        </w:trPr>
        <w:tc>
          <w:tcPr>
            <w:tcW w:w="2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gridSpan w:val="3"/>
          </w:tcPr>
          <w:p>
            <w:pPr>
              <w:spacing w:after="0" w:line="176" w:lineRule="exact"/>
              <w:rPr>
                <w:sz w:val="20"/>
                <w:szCs w:val="20"/>
                <w:color w:val="auto"/>
              </w:rPr>
            </w:pPr>
            <w:r>
              <w:rPr>
                <w:rFonts w:ascii="Arial" w:cs="Arial" w:eastAsia="Arial" w:hAnsi="Arial"/>
                <w:sz w:val="18"/>
                <w:szCs w:val="18"/>
                <w:color w:val="auto"/>
              </w:rPr>
              <w:t>Significant non-cash transactions: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 of right-of-use assets, property, plant and equipment and related lease liabilities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8,682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5,878</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Purchase of property, plant and equipment financed by short-term credit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2,802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Extinguishment of warrant liability and long-term debt through share issuance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Issuance of shares in connection with business combination</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3,676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recovery related to equity issuance costs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25"/>
        </w:trPr>
        <w:tc>
          <w:tcPr>
            <w:tcW w:w="2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1165860" cy="3086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BITFARMS LTD.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thousands of U.S. dollars, except for data relating to quantity of PPE, shares, warrants and digital assets)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28: COMPARATIVE FIGURES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Certain figures in the comparative period consolidated statements of financial position, consolidated statements of profit or loss and comprehensive profit or loss, consolidated statements of changes in equity and consolidated statements of cash flows have been reclassified to meet the current presentation.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29: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Program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period from January 1, 2022, to March 25, 2022, the Company issued 6,445,709 common shares in exchange for gross proceeds of $25,606 at an average share price of approximately 3.97 USD. The Company received net proceeds of $24,813 after paying commissions of $793 to the Company’s agent. See Note 18 for further details to the Company’s at-the-market equity program.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Digital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January 6, 2022, the Company purchased 1,000 BTC for $43,237.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Financing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February 24, 2022, the Company entered into a $32,000 equipment financing agreement with BlockFi Lending LLC. This loan bears interest at 14.5% for a period of 2 years and is secured by 6,100 Bitmain S19j Pros. The loan will be repaid with average monthly payments of $1,537.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1165860" cy="3086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658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118" w:name="page119"/>
    <w:bookmarkEnd w:id="118"/>
    <w:p>
      <w:pPr>
        <w:ind w:left="9200"/>
        <w:spacing w:after="0"/>
        <w:rPr>
          <w:sz w:val="20"/>
          <w:szCs w:val="20"/>
          <w:color w:val="auto"/>
        </w:rPr>
      </w:pPr>
      <w:r>
        <w:rPr>
          <w:rFonts w:ascii="Arial" w:cs="Arial" w:eastAsia="Arial" w:hAnsi="Arial"/>
          <w:sz w:val="16"/>
          <w:szCs w:val="16"/>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168910</wp:posOffset>
            </wp:positionV>
            <wp:extent cx="7132320" cy="94983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9498330"/>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-119380</wp:posOffset>
            </wp:positionV>
            <wp:extent cx="1543050" cy="4286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Contents</w:t>
            </w:r>
          </w:p>
        </w:tc>
        <w:tc>
          <w:tcPr>
            <w:tcW w:w="3660" w:type="dxa"/>
            <w:vAlign w:val="bottom"/>
          </w:tcPr>
          <w:p>
            <w:pPr>
              <w:spacing w:after="0"/>
              <w:rPr>
                <w:sz w:val="20"/>
                <w:szCs w:val="20"/>
                <w:color w:val="auto"/>
              </w:rPr>
            </w:pPr>
          </w:p>
        </w:tc>
      </w:tr>
      <w:tr>
        <w:trPr>
          <w:trHeight w:val="216"/>
        </w:trPr>
        <w:tc>
          <w:tcPr>
            <w:tcW w:w="758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Introduction</w:t>
            </w:r>
          </w:p>
        </w:tc>
        <w:tc>
          <w:tcPr>
            <w:tcW w:w="3660" w:type="dxa"/>
            <w:vAlign w:val="bottom"/>
            <w:shd w:val="clear" w:color="auto" w:fill="CCEEFF"/>
          </w:tcPr>
          <w:p>
            <w:pPr>
              <w:jc w:val="center"/>
              <w:ind w:left="2450"/>
              <w:spacing w:after="0"/>
              <w:rPr>
                <w:sz w:val="20"/>
                <w:szCs w:val="20"/>
                <w:color w:val="auto"/>
              </w:rPr>
            </w:pPr>
            <w:r>
              <w:rPr>
                <w:rFonts w:ascii="Arial" w:cs="Arial" w:eastAsia="Arial" w:hAnsi="Arial"/>
                <w:sz w:val="18"/>
                <w:szCs w:val="18"/>
                <w:color w:val="auto"/>
                <w:w w:val="79"/>
              </w:rPr>
              <w:t>2</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Company Overview</w:t>
            </w:r>
          </w:p>
        </w:tc>
        <w:tc>
          <w:tcPr>
            <w:tcW w:w="3660" w:type="dxa"/>
            <w:vAlign w:val="bottom"/>
          </w:tcPr>
          <w:p>
            <w:pPr>
              <w:jc w:val="center"/>
              <w:ind w:left="2450"/>
              <w:spacing w:after="0"/>
              <w:rPr>
                <w:sz w:val="20"/>
                <w:szCs w:val="20"/>
                <w:color w:val="auto"/>
              </w:rPr>
            </w:pPr>
            <w:r>
              <w:rPr>
                <w:rFonts w:ascii="Arial" w:cs="Arial" w:eastAsia="Arial" w:hAnsi="Arial"/>
                <w:sz w:val="18"/>
                <w:szCs w:val="18"/>
                <w:color w:val="auto"/>
                <w:w w:val="79"/>
              </w:rPr>
              <w:t>2</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Consolidated Results of Operations</w:t>
            </w:r>
          </w:p>
        </w:tc>
        <w:tc>
          <w:tcPr>
            <w:tcW w:w="3660" w:type="dxa"/>
            <w:vAlign w:val="bottom"/>
            <w:shd w:val="clear" w:color="auto" w:fill="CCEEFF"/>
          </w:tcPr>
          <w:p>
            <w:pPr>
              <w:jc w:val="center"/>
              <w:ind w:left="2450"/>
              <w:spacing w:after="0"/>
              <w:rPr>
                <w:sz w:val="20"/>
                <w:szCs w:val="20"/>
                <w:color w:val="auto"/>
              </w:rPr>
            </w:pPr>
            <w:r>
              <w:rPr>
                <w:rFonts w:ascii="Arial" w:cs="Arial" w:eastAsia="Arial" w:hAnsi="Arial"/>
                <w:sz w:val="18"/>
                <w:szCs w:val="18"/>
                <w:color w:val="auto"/>
                <w:w w:val="79"/>
              </w:rPr>
              <w:t>3</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Selected Annual information</w:t>
            </w:r>
          </w:p>
        </w:tc>
        <w:tc>
          <w:tcPr>
            <w:tcW w:w="3660" w:type="dxa"/>
            <w:vAlign w:val="bottom"/>
          </w:tcPr>
          <w:p>
            <w:pPr>
              <w:jc w:val="center"/>
              <w:ind w:left="2450"/>
              <w:spacing w:after="0"/>
              <w:rPr>
                <w:sz w:val="20"/>
                <w:szCs w:val="20"/>
                <w:color w:val="auto"/>
              </w:rPr>
            </w:pPr>
            <w:r>
              <w:rPr>
                <w:rFonts w:ascii="Arial" w:cs="Arial" w:eastAsia="Arial" w:hAnsi="Arial"/>
                <w:sz w:val="18"/>
                <w:szCs w:val="18"/>
                <w:color w:val="auto"/>
                <w:w w:val="79"/>
              </w:rPr>
              <w:t>9</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Selected Quarterly Information</w:t>
            </w:r>
          </w:p>
        </w:tc>
        <w:tc>
          <w:tcPr>
            <w:tcW w:w="3660" w:type="dxa"/>
            <w:vAlign w:val="bottom"/>
            <w:shd w:val="clear" w:color="auto" w:fill="CCEEFF"/>
          </w:tcPr>
          <w:p>
            <w:pPr>
              <w:jc w:val="center"/>
              <w:ind w:left="2430"/>
              <w:spacing w:after="0"/>
              <w:rPr>
                <w:sz w:val="20"/>
                <w:szCs w:val="20"/>
                <w:color w:val="auto"/>
              </w:rPr>
            </w:pPr>
            <w:r>
              <w:rPr>
                <w:rFonts w:ascii="Arial" w:cs="Arial" w:eastAsia="Arial" w:hAnsi="Arial"/>
                <w:sz w:val="18"/>
                <w:szCs w:val="18"/>
                <w:color w:val="auto"/>
                <w:w w:val="89"/>
              </w:rPr>
              <w:t>10</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Reconciliation of Non-IFRS measures</w:t>
            </w:r>
          </w:p>
        </w:tc>
        <w:tc>
          <w:tcPr>
            <w:tcW w:w="3660" w:type="dxa"/>
            <w:vAlign w:val="bottom"/>
          </w:tcPr>
          <w:p>
            <w:pPr>
              <w:jc w:val="center"/>
              <w:ind w:left="2430"/>
              <w:spacing w:after="0"/>
              <w:rPr>
                <w:sz w:val="20"/>
                <w:szCs w:val="20"/>
                <w:color w:val="auto"/>
              </w:rPr>
            </w:pPr>
            <w:r>
              <w:rPr>
                <w:rFonts w:ascii="Arial" w:cs="Arial" w:eastAsia="Arial" w:hAnsi="Arial"/>
                <w:sz w:val="18"/>
                <w:szCs w:val="18"/>
                <w:color w:val="auto"/>
                <w:w w:val="89"/>
              </w:rPr>
              <w:t>10</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Geographical Information</w:t>
            </w:r>
          </w:p>
        </w:tc>
        <w:tc>
          <w:tcPr>
            <w:tcW w:w="3660" w:type="dxa"/>
            <w:vAlign w:val="bottom"/>
            <w:shd w:val="clear" w:color="auto" w:fill="CCEEFF"/>
          </w:tcPr>
          <w:p>
            <w:pPr>
              <w:jc w:val="center"/>
              <w:ind w:left="2430"/>
              <w:spacing w:after="0"/>
              <w:rPr>
                <w:sz w:val="20"/>
                <w:szCs w:val="20"/>
                <w:color w:val="auto"/>
              </w:rPr>
            </w:pPr>
            <w:r>
              <w:rPr>
                <w:rFonts w:ascii="Arial" w:cs="Arial" w:eastAsia="Arial" w:hAnsi="Arial"/>
                <w:sz w:val="18"/>
                <w:szCs w:val="18"/>
                <w:color w:val="auto"/>
                <w:w w:val="89"/>
              </w:rPr>
              <w:t>12</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Revenues</w:t>
            </w:r>
          </w:p>
        </w:tc>
        <w:tc>
          <w:tcPr>
            <w:tcW w:w="3660" w:type="dxa"/>
            <w:vAlign w:val="bottom"/>
          </w:tcPr>
          <w:p>
            <w:pPr>
              <w:jc w:val="center"/>
              <w:ind w:left="2430"/>
              <w:spacing w:after="0"/>
              <w:rPr>
                <w:sz w:val="20"/>
                <w:szCs w:val="20"/>
                <w:color w:val="auto"/>
              </w:rPr>
            </w:pPr>
            <w:r>
              <w:rPr>
                <w:rFonts w:ascii="Arial" w:cs="Arial" w:eastAsia="Arial" w:hAnsi="Arial"/>
                <w:sz w:val="18"/>
                <w:szCs w:val="18"/>
                <w:color w:val="auto"/>
                <w:w w:val="89"/>
              </w:rPr>
              <w:t>12</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660" w:type="dxa"/>
            <w:vAlign w:val="bottom"/>
            <w:shd w:val="clear" w:color="auto" w:fill="CCEEFF"/>
          </w:tcPr>
          <w:p>
            <w:pPr>
              <w:jc w:val="center"/>
              <w:ind w:left="2430"/>
              <w:spacing w:after="0"/>
              <w:rPr>
                <w:sz w:val="20"/>
                <w:szCs w:val="20"/>
                <w:color w:val="auto"/>
              </w:rPr>
            </w:pPr>
            <w:r>
              <w:rPr>
                <w:rFonts w:ascii="Arial" w:cs="Arial" w:eastAsia="Arial" w:hAnsi="Arial"/>
                <w:sz w:val="18"/>
                <w:szCs w:val="18"/>
                <w:color w:val="auto"/>
                <w:w w:val="89"/>
              </w:rPr>
              <w:t>12</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Liquidity and Capital Resources</w:t>
            </w:r>
          </w:p>
        </w:tc>
        <w:tc>
          <w:tcPr>
            <w:tcW w:w="3660" w:type="dxa"/>
            <w:vAlign w:val="bottom"/>
          </w:tcPr>
          <w:p>
            <w:pPr>
              <w:jc w:val="center"/>
              <w:ind w:left="2430"/>
              <w:spacing w:after="0"/>
              <w:rPr>
                <w:sz w:val="20"/>
                <w:szCs w:val="20"/>
                <w:color w:val="auto"/>
              </w:rPr>
            </w:pPr>
            <w:r>
              <w:rPr>
                <w:rFonts w:ascii="Arial" w:cs="Arial" w:eastAsia="Arial" w:hAnsi="Arial"/>
                <w:sz w:val="18"/>
                <w:szCs w:val="18"/>
                <w:color w:val="auto"/>
                <w:w w:val="89"/>
              </w:rPr>
              <w:t>12</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Flows</w:t>
            </w:r>
          </w:p>
        </w:tc>
        <w:tc>
          <w:tcPr>
            <w:tcW w:w="3660" w:type="dxa"/>
            <w:vAlign w:val="bottom"/>
            <w:shd w:val="clear" w:color="auto" w:fill="CCEEFF"/>
          </w:tcPr>
          <w:p>
            <w:pPr>
              <w:jc w:val="center"/>
              <w:ind w:left="2430"/>
              <w:spacing w:after="0"/>
              <w:rPr>
                <w:sz w:val="20"/>
                <w:szCs w:val="20"/>
                <w:color w:val="auto"/>
              </w:rPr>
            </w:pPr>
            <w:r>
              <w:rPr>
                <w:rFonts w:ascii="Arial" w:cs="Arial" w:eastAsia="Arial" w:hAnsi="Arial"/>
                <w:sz w:val="18"/>
                <w:szCs w:val="18"/>
                <w:color w:val="auto"/>
                <w:w w:val="89"/>
              </w:rPr>
              <w:t>12</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Working Capital</w:t>
            </w:r>
          </w:p>
        </w:tc>
        <w:tc>
          <w:tcPr>
            <w:tcW w:w="3660" w:type="dxa"/>
            <w:vAlign w:val="bottom"/>
          </w:tcPr>
          <w:p>
            <w:pPr>
              <w:jc w:val="center"/>
              <w:ind w:left="2430"/>
              <w:spacing w:after="0"/>
              <w:rPr>
                <w:sz w:val="20"/>
                <w:szCs w:val="20"/>
                <w:color w:val="auto"/>
              </w:rPr>
            </w:pPr>
            <w:r>
              <w:rPr>
                <w:rFonts w:ascii="Arial" w:cs="Arial" w:eastAsia="Arial" w:hAnsi="Arial"/>
                <w:sz w:val="18"/>
                <w:szCs w:val="18"/>
                <w:color w:val="auto"/>
                <w:w w:val="89"/>
              </w:rPr>
              <w:t>13</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Capital Resources</w:t>
            </w:r>
          </w:p>
        </w:tc>
        <w:tc>
          <w:tcPr>
            <w:tcW w:w="3660" w:type="dxa"/>
            <w:vAlign w:val="bottom"/>
            <w:shd w:val="clear" w:color="auto" w:fill="CCEEFF"/>
          </w:tcPr>
          <w:p>
            <w:pPr>
              <w:jc w:val="center"/>
              <w:ind w:left="2430"/>
              <w:spacing w:after="0"/>
              <w:rPr>
                <w:sz w:val="20"/>
                <w:szCs w:val="20"/>
                <w:color w:val="auto"/>
              </w:rPr>
            </w:pPr>
            <w:r>
              <w:rPr>
                <w:rFonts w:ascii="Arial" w:cs="Arial" w:eastAsia="Arial" w:hAnsi="Arial"/>
                <w:sz w:val="18"/>
                <w:szCs w:val="18"/>
                <w:color w:val="auto"/>
                <w:w w:val="89"/>
              </w:rPr>
              <w:t>13</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Off-Balance Sheet Arrangements</w:t>
            </w:r>
          </w:p>
        </w:tc>
        <w:tc>
          <w:tcPr>
            <w:tcW w:w="3660" w:type="dxa"/>
            <w:vAlign w:val="bottom"/>
          </w:tcPr>
          <w:p>
            <w:pPr>
              <w:jc w:val="center"/>
              <w:ind w:left="2430"/>
              <w:spacing w:after="0"/>
              <w:rPr>
                <w:sz w:val="20"/>
                <w:szCs w:val="20"/>
                <w:color w:val="auto"/>
              </w:rPr>
            </w:pPr>
            <w:r>
              <w:rPr>
                <w:rFonts w:ascii="Arial" w:cs="Arial" w:eastAsia="Arial" w:hAnsi="Arial"/>
                <w:sz w:val="18"/>
                <w:szCs w:val="18"/>
                <w:color w:val="auto"/>
                <w:w w:val="89"/>
              </w:rPr>
              <w:t>16</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3660" w:type="dxa"/>
            <w:vAlign w:val="bottom"/>
            <w:shd w:val="clear" w:color="auto" w:fill="CCEEFF"/>
          </w:tcPr>
          <w:p>
            <w:pPr>
              <w:jc w:val="center"/>
              <w:ind w:left="2430"/>
              <w:spacing w:after="0"/>
              <w:rPr>
                <w:sz w:val="20"/>
                <w:szCs w:val="20"/>
                <w:color w:val="auto"/>
              </w:rPr>
            </w:pPr>
            <w:r>
              <w:rPr>
                <w:rFonts w:ascii="Arial" w:cs="Arial" w:eastAsia="Arial" w:hAnsi="Arial"/>
                <w:sz w:val="18"/>
                <w:szCs w:val="18"/>
                <w:color w:val="auto"/>
                <w:w w:val="89"/>
              </w:rPr>
              <w:t>17</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Financial Instruments &amp; Risks</w:t>
            </w:r>
          </w:p>
        </w:tc>
        <w:tc>
          <w:tcPr>
            <w:tcW w:w="3660" w:type="dxa"/>
            <w:vAlign w:val="bottom"/>
          </w:tcPr>
          <w:p>
            <w:pPr>
              <w:jc w:val="center"/>
              <w:ind w:left="2430"/>
              <w:spacing w:after="0"/>
              <w:rPr>
                <w:sz w:val="20"/>
                <w:szCs w:val="20"/>
                <w:color w:val="auto"/>
              </w:rPr>
            </w:pPr>
            <w:r>
              <w:rPr>
                <w:rFonts w:ascii="Arial" w:cs="Arial" w:eastAsia="Arial" w:hAnsi="Arial"/>
                <w:sz w:val="18"/>
                <w:szCs w:val="18"/>
                <w:color w:val="auto"/>
                <w:w w:val="89"/>
              </w:rPr>
              <w:t>17</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Other Risks</w:t>
            </w:r>
          </w:p>
        </w:tc>
        <w:tc>
          <w:tcPr>
            <w:tcW w:w="3660" w:type="dxa"/>
            <w:vAlign w:val="bottom"/>
            <w:shd w:val="clear" w:color="auto" w:fill="CCEEFF"/>
          </w:tcPr>
          <w:p>
            <w:pPr>
              <w:jc w:val="center"/>
              <w:ind w:left="2430"/>
              <w:spacing w:after="0"/>
              <w:rPr>
                <w:sz w:val="20"/>
                <w:szCs w:val="20"/>
                <w:color w:val="auto"/>
              </w:rPr>
            </w:pPr>
            <w:r>
              <w:rPr>
                <w:rFonts w:ascii="Arial" w:cs="Arial" w:eastAsia="Arial" w:hAnsi="Arial"/>
                <w:sz w:val="18"/>
                <w:szCs w:val="18"/>
                <w:color w:val="auto"/>
                <w:w w:val="89"/>
              </w:rPr>
              <w:t>20</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Related Party Transactions</w:t>
            </w:r>
          </w:p>
        </w:tc>
        <w:tc>
          <w:tcPr>
            <w:tcW w:w="3660" w:type="dxa"/>
            <w:vAlign w:val="bottom"/>
          </w:tcPr>
          <w:p>
            <w:pPr>
              <w:jc w:val="center"/>
              <w:ind w:left="2430"/>
              <w:spacing w:after="0"/>
              <w:rPr>
                <w:sz w:val="20"/>
                <w:szCs w:val="20"/>
                <w:color w:val="auto"/>
              </w:rPr>
            </w:pPr>
            <w:r>
              <w:rPr>
                <w:rFonts w:ascii="Arial" w:cs="Arial" w:eastAsia="Arial" w:hAnsi="Arial"/>
                <w:sz w:val="18"/>
                <w:szCs w:val="18"/>
                <w:color w:val="auto"/>
                <w:w w:val="89"/>
              </w:rPr>
              <w:t>34</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Recent and Subsequent Events</w:t>
            </w:r>
          </w:p>
        </w:tc>
        <w:tc>
          <w:tcPr>
            <w:tcW w:w="3660" w:type="dxa"/>
            <w:vAlign w:val="bottom"/>
            <w:shd w:val="clear" w:color="auto" w:fill="CCEEFF"/>
          </w:tcPr>
          <w:p>
            <w:pPr>
              <w:jc w:val="center"/>
              <w:ind w:left="2430"/>
              <w:spacing w:after="0"/>
              <w:rPr>
                <w:sz w:val="20"/>
                <w:szCs w:val="20"/>
                <w:color w:val="auto"/>
              </w:rPr>
            </w:pPr>
            <w:r>
              <w:rPr>
                <w:rFonts w:ascii="Arial" w:cs="Arial" w:eastAsia="Arial" w:hAnsi="Arial"/>
                <w:sz w:val="18"/>
                <w:szCs w:val="18"/>
                <w:color w:val="auto"/>
                <w:w w:val="89"/>
              </w:rPr>
              <w:t>34</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Significant Accounting Estimates</w:t>
            </w:r>
          </w:p>
        </w:tc>
        <w:tc>
          <w:tcPr>
            <w:tcW w:w="3660" w:type="dxa"/>
            <w:vAlign w:val="bottom"/>
          </w:tcPr>
          <w:p>
            <w:pPr>
              <w:jc w:val="center"/>
              <w:ind w:left="2430"/>
              <w:spacing w:after="0"/>
              <w:rPr>
                <w:sz w:val="20"/>
                <w:szCs w:val="20"/>
                <w:color w:val="auto"/>
              </w:rPr>
            </w:pPr>
            <w:r>
              <w:rPr>
                <w:rFonts w:ascii="Arial" w:cs="Arial" w:eastAsia="Arial" w:hAnsi="Arial"/>
                <w:sz w:val="18"/>
                <w:szCs w:val="18"/>
                <w:color w:val="auto"/>
                <w:w w:val="89"/>
              </w:rPr>
              <w:t>35</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Caution Regarding Forward-Looking Statements</w:t>
            </w:r>
          </w:p>
        </w:tc>
        <w:tc>
          <w:tcPr>
            <w:tcW w:w="3660" w:type="dxa"/>
            <w:vAlign w:val="bottom"/>
            <w:shd w:val="clear" w:color="auto" w:fill="CCEEFF"/>
          </w:tcPr>
          <w:p>
            <w:pPr>
              <w:jc w:val="center"/>
              <w:ind w:left="2430"/>
              <w:spacing w:after="0"/>
              <w:rPr>
                <w:sz w:val="20"/>
                <w:szCs w:val="20"/>
                <w:color w:val="auto"/>
              </w:rPr>
            </w:pPr>
            <w:r>
              <w:rPr>
                <w:rFonts w:ascii="Arial" w:cs="Arial" w:eastAsia="Arial" w:hAnsi="Arial"/>
                <w:sz w:val="18"/>
                <w:szCs w:val="18"/>
                <w:color w:val="auto"/>
                <w:w w:val="89"/>
              </w:rPr>
              <w:t>35</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Caution Regarding Non-IFRS Financial Performance Measures</w:t>
            </w:r>
          </w:p>
        </w:tc>
        <w:tc>
          <w:tcPr>
            <w:tcW w:w="3660" w:type="dxa"/>
            <w:vAlign w:val="bottom"/>
          </w:tcPr>
          <w:p>
            <w:pPr>
              <w:jc w:val="center"/>
              <w:ind w:left="2430"/>
              <w:spacing w:after="0"/>
              <w:rPr>
                <w:sz w:val="20"/>
                <w:szCs w:val="20"/>
                <w:color w:val="auto"/>
              </w:rPr>
            </w:pPr>
            <w:r>
              <w:rPr>
                <w:rFonts w:ascii="Arial" w:cs="Arial" w:eastAsia="Arial" w:hAnsi="Arial"/>
                <w:sz w:val="18"/>
                <w:szCs w:val="18"/>
                <w:color w:val="auto"/>
                <w:w w:val="89"/>
              </w:rPr>
              <w:t>36</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Internal Controls</w:t>
            </w:r>
          </w:p>
        </w:tc>
        <w:tc>
          <w:tcPr>
            <w:tcW w:w="3660" w:type="dxa"/>
            <w:vAlign w:val="bottom"/>
            <w:shd w:val="clear" w:color="auto" w:fill="CCEEFF"/>
          </w:tcPr>
          <w:p>
            <w:pPr>
              <w:jc w:val="center"/>
              <w:ind w:left="2430"/>
              <w:spacing w:after="0"/>
              <w:rPr>
                <w:sz w:val="20"/>
                <w:szCs w:val="20"/>
                <w:color w:val="auto"/>
              </w:rPr>
            </w:pPr>
            <w:r>
              <w:rPr>
                <w:rFonts w:ascii="Arial" w:cs="Arial" w:eastAsia="Arial" w:hAnsi="Arial"/>
                <w:sz w:val="18"/>
                <w:szCs w:val="18"/>
                <w:color w:val="auto"/>
                <w:w w:val="89"/>
              </w:rPr>
              <w:t>37</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Additional Information</w:t>
            </w:r>
          </w:p>
        </w:tc>
        <w:tc>
          <w:tcPr>
            <w:tcW w:w="3660" w:type="dxa"/>
            <w:vAlign w:val="bottom"/>
          </w:tcPr>
          <w:p>
            <w:pPr>
              <w:jc w:val="center"/>
              <w:ind w:left="2430"/>
              <w:spacing w:after="0"/>
              <w:rPr>
                <w:sz w:val="20"/>
                <w:szCs w:val="20"/>
                <w:color w:val="auto"/>
              </w:rPr>
            </w:pPr>
            <w:r>
              <w:rPr>
                <w:rFonts w:ascii="Arial" w:cs="Arial" w:eastAsia="Arial" w:hAnsi="Arial"/>
                <w:sz w:val="18"/>
                <w:szCs w:val="18"/>
                <w:color w:val="auto"/>
                <w:w w:val="89"/>
              </w:rPr>
              <w:t>38</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Glossary of Terms</w:t>
            </w:r>
          </w:p>
        </w:tc>
        <w:tc>
          <w:tcPr>
            <w:tcW w:w="3660" w:type="dxa"/>
            <w:vAlign w:val="bottom"/>
            <w:shd w:val="clear" w:color="auto" w:fill="CCEEFF"/>
          </w:tcPr>
          <w:p>
            <w:pPr>
              <w:jc w:val="center"/>
              <w:ind w:left="2430"/>
              <w:spacing w:after="0"/>
              <w:rPr>
                <w:sz w:val="20"/>
                <w:szCs w:val="20"/>
                <w:color w:val="auto"/>
              </w:rPr>
            </w:pPr>
            <w:r>
              <w:rPr>
                <w:rFonts w:ascii="Arial" w:cs="Arial" w:eastAsia="Arial" w:hAnsi="Arial"/>
                <w:sz w:val="18"/>
                <w:szCs w:val="18"/>
                <w:color w:val="auto"/>
                <w:w w:val="89"/>
              </w:rPr>
              <w:t>38</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-119380</wp:posOffset>
            </wp:positionV>
            <wp:extent cx="1543050" cy="4286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Introduction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Management’s Discussion and Analysis (the “MD&amp;A”) for Bitfarms Ltd. (together with its subsidiaries, the “Company” or “Bitfarms”), dated March 28, 2022, should be read in conjunction with the Company’s audited annual consolidated financial statements and its accompanying notes for the year ended December 31, 2021. In addition, the MD&amp;A should be read in conjunction with the Company’s Annual Information Form dated March 28, 2022, which, along with the financial statements, is available on SEDAR at www.sedar.com.</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2021 audited annual consolidated financial statements and the accompanying notes have been prepared in accordance with International Financial Reporting Standards (“IFRS”) as issued by the International Accounting Standards Board (“IASB”). The Company’s 2021 audited annual consolidated financial statements and this MD&amp;A are reported in thousands of US dollars and US dollars, respectively, except where otherwise noted.</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utilizes a number of non-IFRS measures in assessing operating performance. Non-IFRS financial performance measures exclude the impact of certain items and are used internally when analyzing operating performance. Please refer to the “Caution Regarding Non-IFRS Financial Performance Measures” section of this MD&amp;A for more information. This MD&amp;A contains various terms related to the Company’s business and industry which are defined in the Glossary of Terms section of this MD&amp;A.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Company Overview</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operations are predominantly in Canada and the United States, with new operations having commenced in Paraguay in 2022 and construction of a new facility having commenced in Argentina. Bitfarms owns and operates server farms, comprised of computers (referred to as a “Miners”) designed for the purpose of validating transactions, primarily on the Bitcoin Blockchain. The Miners operate 24 hours a day and revenue is earned from Block Rewards and transaction fees issued in the form of cryptocurrencies by the Bitcoin network. The Company contributes its Hashrate, which is used to validate transactions (referred to as “Mining)” to a Mining Pool in exchange for cryptocurrency tokens. Bitfarms accumulates its cryptocurrencies mined or exchanges them for U.S. dollars, as needed, through reputable and established cryptocurrency trading platforms. 9159-9290 Quebec Inc. (Volta) assists Bitfarms in building and maintaining its server farms and provides electrician services to both commercial and residential customers in Quebec.</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Bitfarms operates six server farm facilities in Quebec, Canada, with electrical infrastructure capacity of 94 MW for Mining Bitcoin. The Company has contracts securing an aggregate of 160 MW of hydro-electric green energy in Quebec.</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On November 9, 2021, the Company acquired a Mining facility powered by hydro-electricity with a maximum capacity of up to 24 MW in Washington state as described in note 4 of the 2021 audited annual consolidated financial statements. The Company is currently operating 17 MW of electrical infrastructure and is in the process of upgrading the facility as described in the </w:t>
      </w:r>
      <w:r>
        <w:rPr>
          <w:rFonts w:ascii="Arial" w:cs="Arial" w:eastAsia="Arial" w:hAnsi="Arial"/>
          <w:sz w:val="17"/>
          <w:szCs w:val="17"/>
          <w:i w:val="1"/>
          <w:iCs w:val="1"/>
          <w:color w:val="auto"/>
        </w:rPr>
        <w:t>Washington Expansion</w:t>
      </w:r>
      <w:r>
        <w:rPr>
          <w:rFonts w:ascii="Arial" w:cs="Arial" w:eastAsia="Arial" w:hAnsi="Arial"/>
          <w:sz w:val="17"/>
          <w:szCs w:val="17"/>
          <w:color w:val="auto"/>
        </w:rPr>
        <w:t xml:space="preserve"> section of this MD&amp;A.</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January 2022, the Company began operating a server farm facility in Paraguay, with electrical infrastructure of 10 MW powered by hydro-electric green energy. During 2021, the Company also secured 210 MW of natural gas-powered energy in Argentina and commenced the design, construction and procurement of infrastructure equipment for a mining facility at the energy source. In addition, Bitfarms owns proprietary software that is used to control, manage, report and secure Mining operations. The software scans and reports the location, computing power and temperature of all Miners to allow the Company to monitor performance and ensure Miners are operating at maximum capacity and up-time.</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-119380</wp:posOffset>
            </wp:positionV>
            <wp:extent cx="1543050" cy="4286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80" w:type="dxa"/>
            <w:vAlign w:val="bottom"/>
            <w:gridSpan w:val="3"/>
          </w:tcPr>
          <w:p>
            <w:pPr>
              <w:spacing w:after="0"/>
              <w:rPr>
                <w:sz w:val="20"/>
                <w:szCs w:val="20"/>
                <w:color w:val="auto"/>
              </w:rPr>
            </w:pPr>
            <w:r>
              <w:rPr>
                <w:rFonts w:ascii="Arial" w:cs="Arial" w:eastAsia="Arial" w:hAnsi="Arial"/>
                <w:sz w:val="18"/>
                <w:szCs w:val="18"/>
                <w:color w:val="auto"/>
                <w:w w:val="93"/>
              </w:rPr>
              <w:t>Consolidated Results of Operations</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420" w:type="dxa"/>
            <w:vAlign w:val="bottom"/>
          </w:tcPr>
          <w:p>
            <w:pPr>
              <w:spacing w:after="0"/>
              <w:rPr>
                <w:sz w:val="20"/>
                <w:szCs w:val="20"/>
                <w:color w:val="auto"/>
              </w:rPr>
            </w:pPr>
            <w:r>
              <w:rPr>
                <w:rFonts w:ascii="Arial" w:cs="Arial" w:eastAsia="Arial" w:hAnsi="Arial"/>
                <w:sz w:val="18"/>
                <w:szCs w:val="18"/>
                <w:color w:val="auto"/>
              </w:rPr>
              <w:t>(U.S.$ in</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w w:val="97"/>
              </w:rPr>
              <w:t>thousands except</w:t>
            </w:r>
          </w:p>
        </w:tc>
        <w:tc>
          <w:tcPr>
            <w:tcW w:w="2140" w:type="dxa"/>
            <w:vAlign w:val="bottom"/>
            <w:gridSpan w:val="3"/>
            <w:vMerge w:val="restart"/>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20" w:type="dxa"/>
            <w:vAlign w:val="bottom"/>
            <w:gridSpan w:val="2"/>
            <w:vMerge w:val="restart"/>
          </w:tcPr>
          <w:p>
            <w:pPr>
              <w:jc w:val="right"/>
              <w:ind w:right="210"/>
              <w:spacing w:after="0"/>
              <w:rPr>
                <w:sz w:val="20"/>
                <w:szCs w:val="20"/>
                <w:color w:val="auto"/>
              </w:rPr>
            </w:pPr>
            <w:r>
              <w:rPr>
                <w:rFonts w:ascii="Arial" w:cs="Arial" w:eastAsia="Arial" w:hAnsi="Arial"/>
                <w:sz w:val="18"/>
                <w:szCs w:val="18"/>
                <w:b w:val="1"/>
                <w:bCs w:val="1"/>
                <w:color w:val="auto"/>
              </w:rPr>
              <w:t>Twelve months ended</w:t>
            </w:r>
          </w:p>
        </w:tc>
        <w:tc>
          <w:tcPr>
            <w:tcW w:w="320" w:type="dxa"/>
            <w:vAlign w:val="bottom"/>
            <w:vMerge w:val="restart"/>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420" w:type="dxa"/>
            <w:vAlign w:val="bottom"/>
          </w:tcPr>
          <w:p>
            <w:pPr>
              <w:spacing w:after="0"/>
              <w:rPr>
                <w:sz w:val="20"/>
                <w:szCs w:val="20"/>
                <w:color w:val="auto"/>
              </w:rPr>
            </w:pPr>
            <w:r>
              <w:rPr>
                <w:rFonts w:ascii="Arial" w:cs="Arial" w:eastAsia="Arial" w:hAnsi="Arial"/>
                <w:sz w:val="18"/>
                <w:szCs w:val="18"/>
                <w:color w:val="auto"/>
              </w:rPr>
              <w:t>where indicated)</w:t>
            </w:r>
          </w:p>
        </w:tc>
        <w:tc>
          <w:tcPr>
            <w:tcW w:w="2140" w:type="dxa"/>
            <w:vAlign w:val="bottom"/>
            <w:tcBorders>
              <w:bottom w:val="single" w:sz="8" w:color="auto"/>
            </w:tcBorders>
            <w:gridSpan w:val="3"/>
            <w:vMerge w:val="continue"/>
          </w:tcPr>
          <w:p>
            <w:pPr>
              <w:spacing w:after="0"/>
              <w:rPr>
                <w:sz w:val="21"/>
                <w:szCs w:val="21"/>
                <w:color w:val="auto"/>
              </w:rPr>
            </w:pPr>
          </w:p>
        </w:tc>
        <w:tc>
          <w:tcPr>
            <w:tcW w:w="320" w:type="dxa"/>
            <w:vAlign w:val="bottom"/>
            <w:vMerge w:val="continue"/>
          </w:tcPr>
          <w:p>
            <w:pPr>
              <w:spacing w:after="0"/>
              <w:rPr>
                <w:sz w:val="21"/>
                <w:szCs w:val="21"/>
                <w:color w:val="auto"/>
              </w:rPr>
            </w:pPr>
          </w:p>
        </w:tc>
        <w:tc>
          <w:tcPr>
            <w:tcW w:w="1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20" w:type="dxa"/>
            <w:vAlign w:val="bottom"/>
            <w:tcBorders>
              <w:bottom w:val="single" w:sz="8" w:color="auto"/>
            </w:tcBorders>
            <w:gridSpan w:val="2"/>
            <w:vMerge w:val="continue"/>
          </w:tcPr>
          <w:p>
            <w:pPr>
              <w:spacing w:after="0"/>
              <w:rPr>
                <w:sz w:val="21"/>
                <w:szCs w:val="21"/>
                <w:color w:val="auto"/>
              </w:rPr>
            </w:pPr>
          </w:p>
        </w:tc>
        <w:tc>
          <w:tcPr>
            <w:tcW w:w="320" w:type="dxa"/>
            <w:vAlign w:val="bottom"/>
            <w:vMerge w:val="continue"/>
          </w:tcPr>
          <w:p>
            <w:pPr>
              <w:spacing w:after="0"/>
              <w:rPr>
                <w:sz w:val="21"/>
                <w:szCs w:val="21"/>
                <w:color w:val="auto"/>
              </w:rPr>
            </w:pPr>
          </w:p>
        </w:tc>
        <w:tc>
          <w:tcPr>
            <w:tcW w:w="1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4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For the periods</w:t>
            </w:r>
          </w:p>
        </w:tc>
        <w:tc>
          <w:tcPr>
            <w:tcW w:w="112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b w:val="1"/>
                <w:bCs w:val="1"/>
                <w:color w:val="auto"/>
              </w:rPr>
              <w:t>Dec. 31</w:t>
            </w:r>
          </w:p>
        </w:tc>
        <w:tc>
          <w:tcPr>
            <w:tcW w:w="140" w:type="dxa"/>
            <w:vAlign w:val="bottom"/>
          </w:tcPr>
          <w:p>
            <w:pPr>
              <w:spacing w:after="0"/>
              <w:rPr>
                <w:sz w:val="16"/>
                <w:szCs w:val="16"/>
                <w:color w:val="auto"/>
              </w:rPr>
            </w:pPr>
          </w:p>
        </w:tc>
        <w:tc>
          <w:tcPr>
            <w:tcW w:w="120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rPr>
              <w:t>Dec. 31</w:t>
            </w:r>
          </w:p>
        </w:tc>
        <w:tc>
          <w:tcPr>
            <w:tcW w:w="1120" w:type="dxa"/>
            <w:vAlign w:val="bottom"/>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b w:val="1"/>
                <w:bCs w:val="1"/>
                <w:color w:val="auto"/>
              </w:rPr>
              <w:t>Dec. 31</w:t>
            </w:r>
          </w:p>
        </w:tc>
        <w:tc>
          <w:tcPr>
            <w:tcW w:w="138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Dec. 31</w:t>
            </w:r>
          </w:p>
        </w:tc>
        <w:tc>
          <w:tcPr>
            <w:tcW w:w="1200" w:type="dxa"/>
            <w:vAlign w:val="bottom"/>
          </w:tcPr>
          <w:p>
            <w:pPr>
              <w:spacing w:after="0"/>
              <w:rPr>
                <w:sz w:val="16"/>
                <w:szCs w:val="16"/>
                <w:color w:val="auto"/>
              </w:rPr>
            </w:pPr>
          </w:p>
        </w:tc>
        <w:tc>
          <w:tcPr>
            <w:tcW w:w="116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2"/>
        </w:trPr>
        <w:tc>
          <w:tcPr>
            <w:tcW w:w="1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ended as</w:t>
            </w:r>
          </w:p>
        </w:tc>
        <w:tc>
          <w:tcPr>
            <w:tcW w:w="1120" w:type="dxa"/>
            <w:vAlign w:val="bottom"/>
            <w:tcBorders>
              <w:right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indicated</w:t>
            </w:r>
          </w:p>
        </w:tc>
        <w:tc>
          <w:tcPr>
            <w:tcW w:w="112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134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 Change</w:t>
            </w:r>
          </w:p>
        </w:tc>
        <w:tc>
          <w:tcPr>
            <w:tcW w:w="116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120" w:type="dxa"/>
            <w:vAlign w:val="bottom"/>
            <w:tcBorders>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59,598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11,324</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48,274</w:t>
            </w:r>
          </w:p>
        </w:tc>
        <w:tc>
          <w:tcPr>
            <w:tcW w:w="134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426%</w:t>
            </w:r>
          </w:p>
        </w:tc>
        <w:tc>
          <w:tcPr>
            <w:tcW w:w="1160" w:type="dxa"/>
            <w:vAlign w:val="bottom"/>
            <w:tcBorders>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169,491</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34,703</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134,788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23"/>
        </w:trPr>
        <w:tc>
          <w:tcPr>
            <w:tcW w:w="1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Cost of sales</w:t>
            </w:r>
          </w:p>
        </w:tc>
        <w:tc>
          <w:tcPr>
            <w:tcW w:w="112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20,613</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8,580</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12,033</w:t>
            </w:r>
          </w:p>
        </w:tc>
        <w:tc>
          <w:tcPr>
            <w:tcW w:w="13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140%</w:t>
            </w:r>
          </w:p>
        </w:tc>
        <w:tc>
          <w:tcPr>
            <w:tcW w:w="11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58,371</w:t>
            </w:r>
          </w:p>
        </w:tc>
        <w:tc>
          <w:tcPr>
            <w:tcW w:w="13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31,830</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26,541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20" w:type="dxa"/>
            <w:vAlign w:val="bottom"/>
            <w:tcBorders>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38,985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2,744</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36,241</w:t>
            </w:r>
          </w:p>
        </w:tc>
        <w:tc>
          <w:tcPr>
            <w:tcW w:w="1340" w:type="dxa"/>
            <w:vAlign w:val="bottom"/>
            <w:tcBorders>
              <w:right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i w:val="1"/>
                <w:iCs w:val="1"/>
                <w:color w:val="auto"/>
              </w:rPr>
              <w:t>nm</w:t>
            </w:r>
          </w:p>
        </w:tc>
        <w:tc>
          <w:tcPr>
            <w:tcW w:w="1160" w:type="dxa"/>
            <w:vAlign w:val="bottom"/>
            <w:tcBorders>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111,120</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2,873</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108,247</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50"/>
        </w:trPr>
        <w:tc>
          <w:tcPr>
            <w:tcW w:w="1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Gross margin</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24%</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13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8%</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42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General and</w:t>
            </w:r>
          </w:p>
        </w:tc>
        <w:tc>
          <w:tcPr>
            <w:tcW w:w="112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administrative</w:t>
            </w:r>
          </w:p>
        </w:tc>
        <w:tc>
          <w:tcPr>
            <w:tcW w:w="1120" w:type="dxa"/>
            <w:vAlign w:val="bottom"/>
            <w:tcBorders>
              <w:right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18,928</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43,238</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1120" w:type="dxa"/>
            <w:vAlign w:val="bottom"/>
            <w:tcBorders>
              <w:right w:val="single" w:sz="8" w:color="auto"/>
            </w:tcBorders>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2,265</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16,663</w:t>
            </w:r>
          </w:p>
        </w:tc>
        <w:tc>
          <w:tcPr>
            <w:tcW w:w="134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736%</w:t>
            </w:r>
          </w:p>
        </w:tc>
        <w:tc>
          <w:tcPr>
            <w:tcW w:w="1160" w:type="dxa"/>
            <w:vAlign w:val="bottom"/>
            <w:tcBorders>
              <w:right w:val="single" w:sz="8" w:color="auto"/>
            </w:tcBorders>
            <w:vMerge w:val="continue"/>
            <w:shd w:val="clear" w:color="auto" w:fill="CCEEFF"/>
          </w:tcPr>
          <w:p>
            <w:pPr>
              <w:spacing w:after="0"/>
              <w:rPr>
                <w:sz w:val="20"/>
                <w:szCs w:val="20"/>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8,250</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34,988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2"/>
        </w:trPr>
        <w:tc>
          <w:tcPr>
            <w:tcW w:w="14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Loss (gain) on</w:t>
            </w:r>
          </w:p>
        </w:tc>
        <w:tc>
          <w:tcPr>
            <w:tcW w:w="1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disposition of</w:t>
            </w:r>
          </w:p>
        </w:tc>
        <w:tc>
          <w:tcPr>
            <w:tcW w:w="11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137</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289</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digital assets</w:t>
            </w:r>
          </w:p>
        </w:tc>
        <w:tc>
          <w:tcPr>
            <w:tcW w:w="1120" w:type="dxa"/>
            <w:vAlign w:val="bottom"/>
            <w:tcBorders>
              <w:right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(65)</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202</w:t>
            </w:r>
          </w:p>
        </w:tc>
        <w:tc>
          <w:tcPr>
            <w:tcW w:w="13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311%</w:t>
            </w:r>
          </w:p>
        </w:tc>
        <w:tc>
          <w:tcPr>
            <w:tcW w:w="1160" w:type="dxa"/>
            <w:vAlign w:val="bottom"/>
            <w:tcBorders>
              <w:right w:val="single" w:sz="8" w:color="auto"/>
            </w:tcBorders>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(88)</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377</w:t>
            </w:r>
          </w:p>
        </w:tc>
        <w:tc>
          <w:tcPr>
            <w:tcW w:w="116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2"/>
        </w:trPr>
        <w:tc>
          <w:tcPr>
            <w:tcW w:w="142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Loss on</w:t>
            </w:r>
          </w:p>
        </w:tc>
        <w:tc>
          <w:tcPr>
            <w:tcW w:w="112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revaluation of</w:t>
            </w:r>
          </w:p>
        </w:tc>
        <w:tc>
          <w:tcPr>
            <w:tcW w:w="1120" w:type="dxa"/>
            <w:vAlign w:val="bottom"/>
            <w:tcBorders>
              <w:right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3,869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4,861</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digital assets</w:t>
            </w:r>
          </w:p>
        </w:tc>
        <w:tc>
          <w:tcPr>
            <w:tcW w:w="1120" w:type="dxa"/>
            <w:vAlign w:val="bottom"/>
            <w:tcBorders>
              <w:right w:val="single" w:sz="8" w:color="auto"/>
            </w:tcBorders>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3,869</w:t>
            </w:r>
          </w:p>
        </w:tc>
        <w:tc>
          <w:tcPr>
            <w:tcW w:w="134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160" w:type="dxa"/>
            <w:vAlign w:val="bottom"/>
            <w:tcBorders>
              <w:right w:val="single" w:sz="8" w:color="auto"/>
            </w:tcBorders>
            <w:vMerge w:val="continue"/>
            <w:shd w:val="clear" w:color="auto" w:fill="CCEEFF"/>
          </w:tcPr>
          <w:p>
            <w:pPr>
              <w:spacing w:after="0"/>
              <w:rPr>
                <w:sz w:val="20"/>
                <w:szCs w:val="20"/>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4,861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14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Loss (gain) on</w:t>
            </w:r>
          </w:p>
        </w:tc>
        <w:tc>
          <w:tcPr>
            <w:tcW w:w="1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disposition of</w:t>
            </w:r>
          </w:p>
        </w:tc>
        <w:tc>
          <w:tcPr>
            <w:tcW w:w="1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property, plant</w:t>
            </w:r>
          </w:p>
        </w:tc>
        <w:tc>
          <w:tcPr>
            <w:tcW w:w="112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rPr>
              <w:t>(753)</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rPr>
              <w:t>(848)</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and equipment</w:t>
            </w:r>
          </w:p>
        </w:tc>
        <w:tc>
          <w:tcPr>
            <w:tcW w:w="1120" w:type="dxa"/>
            <w:vAlign w:val="bottom"/>
            <w:tcBorders>
              <w:right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178</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(931)</w:t>
            </w:r>
          </w:p>
        </w:tc>
        <w:tc>
          <w:tcPr>
            <w:tcW w:w="1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(523%)</w:t>
            </w:r>
          </w:p>
        </w:tc>
        <w:tc>
          <w:tcPr>
            <w:tcW w:w="1160" w:type="dxa"/>
            <w:vAlign w:val="bottom"/>
            <w:tcBorders>
              <w:right w:val="single" w:sz="8" w:color="auto"/>
            </w:tcBorders>
            <w:vMerge w:val="continue"/>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1,442</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(2,290)</w:t>
            </w:r>
          </w:p>
        </w:tc>
        <w:tc>
          <w:tcPr>
            <w:tcW w:w="116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2"/>
        </w:trPr>
        <w:tc>
          <w:tcPr>
            <w:tcW w:w="142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Impairment on</w:t>
            </w:r>
          </w:p>
        </w:tc>
        <w:tc>
          <w:tcPr>
            <w:tcW w:w="112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property, plant</w:t>
            </w:r>
          </w:p>
        </w:tc>
        <w:tc>
          <w:tcPr>
            <w:tcW w:w="1120" w:type="dxa"/>
            <w:vAlign w:val="bottom"/>
            <w:tcBorders>
              <w:right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1,800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1,800</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and equipment</w:t>
            </w:r>
          </w:p>
        </w:tc>
        <w:tc>
          <w:tcPr>
            <w:tcW w:w="1120" w:type="dxa"/>
            <w:vAlign w:val="bottom"/>
            <w:tcBorders>
              <w:right w:val="single" w:sz="8" w:color="auto"/>
            </w:tcBorders>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1,800</w:t>
            </w:r>
          </w:p>
        </w:tc>
        <w:tc>
          <w:tcPr>
            <w:tcW w:w="134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160" w:type="dxa"/>
            <w:vAlign w:val="bottom"/>
            <w:tcBorders>
              <w:right w:val="single" w:sz="8" w:color="auto"/>
            </w:tcBorders>
            <w:vMerge w:val="continue"/>
            <w:shd w:val="clear" w:color="auto" w:fill="CCEEFF"/>
          </w:tcPr>
          <w:p>
            <w:pPr>
              <w:spacing w:after="0"/>
              <w:rPr>
                <w:sz w:val="20"/>
                <w:szCs w:val="20"/>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14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Impairment</w:t>
            </w:r>
          </w:p>
        </w:tc>
        <w:tc>
          <w:tcPr>
            <w:tcW w:w="1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reversal on</w:t>
            </w:r>
          </w:p>
        </w:tc>
        <w:tc>
          <w:tcPr>
            <w:tcW w:w="1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property, plant</w:t>
            </w:r>
          </w:p>
        </w:tc>
        <w:tc>
          <w:tcPr>
            <w:tcW w:w="11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rPr>
              <w:t>(1,860)</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4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and equipment</w:t>
            </w:r>
          </w:p>
        </w:tc>
        <w:tc>
          <w:tcPr>
            <w:tcW w:w="112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vMerge w:val="continue"/>
          </w:tcPr>
          <w:p>
            <w:pPr>
              <w:spacing w:after="0"/>
              <w:rPr>
                <w:sz w:val="22"/>
                <w:szCs w:val="22"/>
                <w:color w:val="auto"/>
              </w:rPr>
            </w:pPr>
          </w:p>
        </w:tc>
        <w:tc>
          <w:tcPr>
            <w:tcW w:w="13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(1,860)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142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Operating</w:t>
            </w:r>
          </w:p>
        </w:tc>
        <w:tc>
          <w:tcPr>
            <w:tcW w:w="1120" w:type="dxa"/>
            <w:vAlign w:val="bottom"/>
            <w:tcBorders>
              <w:right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15,004</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spacing w:after="0"/>
              <w:rPr>
                <w:sz w:val="17"/>
                <w:szCs w:val="17"/>
                <w:color w:val="auto"/>
              </w:rPr>
            </w:pPr>
          </w:p>
        </w:tc>
        <w:tc>
          <w:tcPr>
            <w:tcW w:w="1160" w:type="dxa"/>
            <w:vAlign w:val="bottom"/>
            <w:tcBorders>
              <w:right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63,640</w:t>
            </w: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2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income (loss)</w:t>
            </w:r>
          </w:p>
        </w:tc>
        <w:tc>
          <w:tcPr>
            <w:tcW w:w="1120" w:type="dxa"/>
            <w:vAlign w:val="bottom"/>
            <w:tcBorders>
              <w:right w:val="single" w:sz="8" w:color="auto"/>
            </w:tcBorders>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366</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14,638</w:t>
            </w:r>
          </w:p>
        </w:tc>
        <w:tc>
          <w:tcPr>
            <w:tcW w:w="1340" w:type="dxa"/>
            <w:vAlign w:val="bottom"/>
            <w:tcBorders>
              <w:right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i w:val="1"/>
                <w:iCs w:val="1"/>
                <w:color w:val="auto"/>
              </w:rPr>
              <w:t>nm</w:t>
            </w:r>
          </w:p>
        </w:tc>
        <w:tc>
          <w:tcPr>
            <w:tcW w:w="1160" w:type="dxa"/>
            <w:vAlign w:val="bottom"/>
            <w:tcBorders>
              <w:right w:val="single" w:sz="8" w:color="auto"/>
            </w:tcBorders>
            <w:vMerge w:val="continue"/>
            <w:shd w:val="clear" w:color="auto" w:fill="CCEEFF"/>
          </w:tcPr>
          <w:p>
            <w:pPr>
              <w:spacing w:after="0"/>
              <w:rPr>
                <w:sz w:val="20"/>
                <w:szCs w:val="20"/>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(6,731)</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70,371</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50"/>
        </w:trPr>
        <w:tc>
          <w:tcPr>
            <w:tcW w:w="1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9"/>
              </w:rPr>
              <w:t>Operating margin</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13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(19%)</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42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Net financial</w:t>
            </w:r>
          </w:p>
        </w:tc>
        <w:tc>
          <w:tcPr>
            <w:tcW w:w="112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1120" w:type="dxa"/>
            <w:vAlign w:val="bottom"/>
            <w:tcBorders>
              <w:right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(2,933)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4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42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1120" w:type="dxa"/>
            <w:vAlign w:val="bottom"/>
            <w:tcBorders>
              <w:bottom w:val="single" w:sz="8" w:color="auto"/>
              <w:right w:val="single" w:sz="8" w:color="auto"/>
            </w:tcBorders>
            <w:vMerge w:val="continue"/>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5,456</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(8,389)</w:t>
            </w:r>
          </w:p>
        </w:tc>
        <w:tc>
          <w:tcPr>
            <w:tcW w:w="13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16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21,003</w:t>
            </w:r>
          </w:p>
        </w:tc>
        <w:tc>
          <w:tcPr>
            <w:tcW w:w="138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9,386</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11,617</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2"/>
        </w:trPr>
        <w:tc>
          <w:tcPr>
            <w:tcW w:w="14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8"/>
              </w:rPr>
              <w:t>Net income (loss)</w:t>
            </w:r>
          </w:p>
        </w:tc>
        <w:tc>
          <w:tcPr>
            <w:tcW w:w="1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before income</w:t>
            </w:r>
          </w:p>
        </w:tc>
        <w:tc>
          <w:tcPr>
            <w:tcW w:w="11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17,937</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42,637</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taxes</w:t>
            </w:r>
          </w:p>
        </w:tc>
        <w:tc>
          <w:tcPr>
            <w:tcW w:w="1120" w:type="dxa"/>
            <w:vAlign w:val="bottom"/>
            <w:tcBorders>
              <w:right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(5,090)</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23,027</w:t>
            </w:r>
          </w:p>
        </w:tc>
        <w:tc>
          <w:tcPr>
            <w:tcW w:w="13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452%</w:t>
            </w:r>
          </w:p>
        </w:tc>
        <w:tc>
          <w:tcPr>
            <w:tcW w:w="1160" w:type="dxa"/>
            <w:vAlign w:val="bottom"/>
            <w:tcBorders>
              <w:right w:val="single" w:sz="8" w:color="auto"/>
            </w:tcBorders>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(16,117)</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58,754</w:t>
            </w:r>
          </w:p>
        </w:tc>
        <w:tc>
          <w:tcPr>
            <w:tcW w:w="1160" w:type="dxa"/>
            <w:vAlign w:val="bottom"/>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2"/>
        </w:trPr>
        <w:tc>
          <w:tcPr>
            <w:tcW w:w="142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Income tax</w:t>
            </w:r>
          </w:p>
        </w:tc>
        <w:tc>
          <w:tcPr>
            <w:tcW w:w="112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42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112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8,260</w:t>
            </w: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284</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7,976</w:t>
            </w:r>
          </w:p>
        </w:tc>
        <w:tc>
          <w:tcPr>
            <w:tcW w:w="1340" w:type="dxa"/>
            <w:vAlign w:val="bottom"/>
            <w:tcBorders>
              <w:bottom w:val="single" w:sz="8" w:color="auto"/>
              <w:right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i w:val="1"/>
                <w:iCs w:val="1"/>
                <w:color w:val="auto"/>
              </w:rPr>
              <w:t>nm</w:t>
            </w:r>
          </w:p>
        </w:tc>
        <w:tc>
          <w:tcPr>
            <w:tcW w:w="116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20,507</w:t>
            </w:r>
          </w:p>
        </w:tc>
        <w:tc>
          <w:tcPr>
            <w:tcW w:w="138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20,335</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Net income (loss)</w:t>
            </w:r>
          </w:p>
        </w:tc>
        <w:tc>
          <w:tcPr>
            <w:tcW w:w="11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9,677</w:t>
            </w: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(5,374)</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15,051</w:t>
            </w:r>
          </w:p>
        </w:tc>
        <w:tc>
          <w:tcPr>
            <w:tcW w:w="13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280%</w:t>
            </w:r>
          </w:p>
        </w:tc>
        <w:tc>
          <w:tcPr>
            <w:tcW w:w="11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22,130</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(16,289)</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38,419</w:t>
            </w:r>
          </w:p>
        </w:tc>
        <w:tc>
          <w:tcPr>
            <w:tcW w:w="116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2"/>
        </w:trPr>
        <w:tc>
          <w:tcPr>
            <w:tcW w:w="142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Basic earnings</w:t>
            </w:r>
          </w:p>
        </w:tc>
        <w:tc>
          <w:tcPr>
            <w:tcW w:w="1120" w:type="dxa"/>
            <w:vAlign w:val="bottom"/>
            <w:tcBorders>
              <w:right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0.05</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spacing w:after="0"/>
              <w:rPr>
                <w:sz w:val="17"/>
                <w:szCs w:val="17"/>
                <w:color w:val="auto"/>
              </w:rPr>
            </w:pPr>
          </w:p>
        </w:tc>
        <w:tc>
          <w:tcPr>
            <w:tcW w:w="1160" w:type="dxa"/>
            <w:vAlign w:val="bottom"/>
            <w:tcBorders>
              <w:right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0.14</w:t>
            </w: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2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5"/>
              </w:rPr>
              <w:t>(loss) per share</w:t>
            </w:r>
          </w:p>
        </w:tc>
        <w:tc>
          <w:tcPr>
            <w:tcW w:w="1120" w:type="dxa"/>
            <w:vAlign w:val="bottom"/>
            <w:tcBorders>
              <w:right w:val="single" w:sz="8" w:color="auto"/>
            </w:tcBorders>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(0.06)</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vMerge w:val="continue"/>
            <w:shd w:val="clear" w:color="auto" w:fill="CCEEFF"/>
          </w:tcPr>
          <w:p>
            <w:pPr>
              <w:spacing w:after="0"/>
              <w:rPr>
                <w:sz w:val="20"/>
                <w:szCs w:val="20"/>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(0.19)</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4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Diluted earnings</w:t>
            </w:r>
          </w:p>
        </w:tc>
        <w:tc>
          <w:tcPr>
            <w:tcW w:w="1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4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5"/>
              </w:rPr>
              <w:t>(loss) per share</w:t>
            </w:r>
          </w:p>
        </w:tc>
        <w:tc>
          <w:tcPr>
            <w:tcW w:w="112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0.05</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(0.06)</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0.13</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(0.19)</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1420" w:type="dxa"/>
            <w:vAlign w:val="bottom"/>
            <w:tcBorders>
              <w:right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Gross mining</w:t>
            </w:r>
          </w:p>
        </w:tc>
        <w:tc>
          <w:tcPr>
            <w:tcW w:w="112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1420" w:type="dxa"/>
            <w:vAlign w:val="bottom"/>
            <w:tcBorders>
              <w:right w:val="single" w:sz="8" w:color="auto"/>
            </w:tcBorders>
            <w:shd w:val="clear" w:color="auto" w:fill="CCEEFF"/>
          </w:tcPr>
          <w:p>
            <w:pPr>
              <w:ind w:left="180"/>
              <w:spacing w:after="0" w:line="267" w:lineRule="exact"/>
              <w:rPr>
                <w:sz w:val="20"/>
                <w:szCs w:val="20"/>
                <w:color w:val="auto"/>
              </w:rPr>
            </w:pPr>
            <w:r>
              <w:rPr>
                <w:rFonts w:ascii="Arial" w:cs="Arial" w:eastAsia="Arial" w:hAnsi="Arial"/>
                <w:sz w:val="18"/>
                <w:szCs w:val="18"/>
                <w:color w:val="auto"/>
              </w:rPr>
              <w:t xml:space="preserve">profit </w:t>
            </w:r>
            <w:r>
              <w:rPr>
                <w:rFonts w:ascii="Arial" w:cs="Arial" w:eastAsia="Arial" w:hAnsi="Arial"/>
                <w:sz w:val="29"/>
                <w:szCs w:val="29"/>
                <w:color w:val="auto"/>
                <w:vertAlign w:val="superscript"/>
              </w:rPr>
              <w:t>(1)</w:t>
            </w:r>
          </w:p>
        </w:tc>
        <w:tc>
          <w:tcPr>
            <w:tcW w:w="1120" w:type="dxa"/>
            <w:vAlign w:val="bottom"/>
            <w:tcBorders>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49,055</w:t>
            </w: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5,461</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43,594</w:t>
            </w:r>
          </w:p>
        </w:tc>
        <w:tc>
          <w:tcPr>
            <w:tcW w:w="134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798%</w:t>
            </w:r>
          </w:p>
        </w:tc>
        <w:tc>
          <w:tcPr>
            <w:tcW w:w="1160" w:type="dxa"/>
            <w:vAlign w:val="bottom"/>
            <w:tcBorders>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134,884</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13,782</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121,102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05"/>
        </w:trPr>
        <w:tc>
          <w:tcPr>
            <w:tcW w:w="1420" w:type="dxa"/>
            <w:vAlign w:val="bottom"/>
            <w:tcBorders>
              <w:right w:val="single" w:sz="8" w:color="auto"/>
            </w:tcBorders>
          </w:tcPr>
          <w:p>
            <w:pPr>
              <w:spacing w:after="0" w:line="206" w:lineRule="exact"/>
              <w:rPr>
                <w:sz w:val="20"/>
                <w:szCs w:val="20"/>
                <w:color w:val="auto"/>
              </w:rPr>
            </w:pPr>
            <w:r>
              <w:rPr>
                <w:rFonts w:ascii="Arial" w:cs="Arial" w:eastAsia="Arial" w:hAnsi="Arial"/>
                <w:sz w:val="18"/>
                <w:szCs w:val="18"/>
                <w:color w:val="auto"/>
              </w:rPr>
              <w:t>Gross mining</w:t>
            </w:r>
          </w:p>
        </w:tc>
        <w:tc>
          <w:tcPr>
            <w:tcW w:w="1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1420" w:type="dxa"/>
            <w:vAlign w:val="bottom"/>
            <w:tcBorders>
              <w:right w:val="single" w:sz="8" w:color="auto"/>
            </w:tcBorders>
          </w:tcPr>
          <w:p>
            <w:pPr>
              <w:ind w:left="180"/>
              <w:spacing w:after="0" w:line="267" w:lineRule="exact"/>
              <w:rPr>
                <w:sz w:val="20"/>
                <w:szCs w:val="20"/>
                <w:color w:val="auto"/>
              </w:rPr>
            </w:pPr>
            <w:r>
              <w:rPr>
                <w:rFonts w:ascii="Arial" w:cs="Arial" w:eastAsia="Arial" w:hAnsi="Arial"/>
                <w:sz w:val="18"/>
                <w:szCs w:val="18"/>
                <w:color w:val="auto"/>
              </w:rPr>
              <w:t xml:space="preserve">margin </w:t>
            </w:r>
            <w:r>
              <w:rPr>
                <w:rFonts w:ascii="Arial" w:cs="Arial" w:eastAsia="Arial" w:hAnsi="Arial"/>
                <w:sz w:val="29"/>
                <w:szCs w:val="29"/>
                <w:color w:val="auto"/>
                <w:vertAlign w:val="superscript"/>
              </w:rPr>
              <w:t>(1)</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84%</w:t>
            </w:r>
          </w:p>
        </w:tc>
        <w:tc>
          <w:tcPr>
            <w:tcW w:w="140" w:type="dxa"/>
            <w:vAlign w:val="bottom"/>
          </w:tcPr>
          <w:p>
            <w:pPr>
              <w:spacing w:after="0"/>
              <w:rPr>
                <w:sz w:val="23"/>
                <w:szCs w:val="23"/>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82%</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420" w:type="dxa"/>
            <w:vAlign w:val="bottom"/>
            <w:tcBorders>
              <w:right w:val="single" w:sz="8" w:color="auto"/>
            </w:tcBorders>
            <w:shd w:val="clear" w:color="auto" w:fill="CCEEFF"/>
          </w:tcPr>
          <w:p>
            <w:pPr>
              <w:spacing w:after="0" w:line="256"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9"/>
                <w:szCs w:val="29"/>
                <w:color w:val="auto"/>
                <w:vertAlign w:val="superscript"/>
              </w:rPr>
              <w:t>(1)</w:t>
            </w:r>
          </w:p>
        </w:tc>
        <w:tc>
          <w:tcPr>
            <w:tcW w:w="1120" w:type="dxa"/>
            <w:vAlign w:val="bottom"/>
            <w:tcBorders>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29,061</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29,561</w:t>
            </w:r>
          </w:p>
        </w:tc>
        <w:tc>
          <w:tcPr>
            <w:tcW w:w="1340" w:type="dxa"/>
            <w:vAlign w:val="bottom"/>
            <w:tcBorders>
              <w:right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i w:val="1"/>
                <w:iCs w:val="1"/>
                <w:color w:val="auto"/>
              </w:rPr>
              <w:t>nm</w:t>
            </w:r>
          </w:p>
        </w:tc>
        <w:tc>
          <w:tcPr>
            <w:tcW w:w="1160" w:type="dxa"/>
            <w:vAlign w:val="bottom"/>
            <w:tcBorders>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70,533</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1,473</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69,060</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05"/>
        </w:trPr>
        <w:tc>
          <w:tcPr>
            <w:tcW w:w="1420" w:type="dxa"/>
            <w:vAlign w:val="bottom"/>
            <w:tcBorders>
              <w:right w:val="single" w:sz="8" w:color="auto"/>
            </w:tcBorders>
          </w:tcPr>
          <w:p>
            <w:pPr>
              <w:spacing w:after="0" w:line="206" w:lineRule="exact"/>
              <w:rPr>
                <w:sz w:val="20"/>
                <w:szCs w:val="20"/>
                <w:color w:val="auto"/>
              </w:rPr>
            </w:pPr>
            <w:r>
              <w:rPr>
                <w:rFonts w:ascii="Arial" w:cs="Arial" w:eastAsia="Arial" w:hAnsi="Arial"/>
                <w:sz w:val="18"/>
                <w:szCs w:val="18"/>
                <w:color w:val="auto"/>
              </w:rPr>
              <w:t>EBITDA margin</w:t>
            </w:r>
          </w:p>
        </w:tc>
        <w:tc>
          <w:tcPr>
            <w:tcW w:w="1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49%</w:t>
            </w:r>
          </w:p>
        </w:tc>
        <w:tc>
          <w:tcPr>
            <w:tcW w:w="140" w:type="dxa"/>
            <w:vAlign w:val="bottom"/>
          </w:tcPr>
          <w:p>
            <w:pPr>
              <w:spacing w:after="0"/>
              <w:rPr>
                <w:sz w:val="17"/>
                <w:szCs w:val="17"/>
                <w:color w:val="auto"/>
              </w:rPr>
            </w:pP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(4%)</w:t>
            </w: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42%</w:t>
            </w: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w:t>
            </w:r>
          </w:p>
        </w:tc>
        <w:tc>
          <w:tcPr>
            <w:tcW w:w="120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1420" w:type="dxa"/>
            <w:vAlign w:val="bottom"/>
            <w:tcBorders>
              <w:right w:val="single" w:sz="8" w:color="auto"/>
            </w:tcBorders>
          </w:tcPr>
          <w:p>
            <w:pPr>
              <w:ind w:left="180"/>
              <w:spacing w:after="0"/>
              <w:rPr>
                <w:sz w:val="20"/>
                <w:szCs w:val="20"/>
                <w:color w:val="auto"/>
              </w:rPr>
            </w:pPr>
            <w:r>
              <w:rPr>
                <w:rFonts w:ascii="Arial" w:cs="Arial" w:eastAsia="Arial" w:hAnsi="Arial"/>
                <w:sz w:val="15"/>
                <w:szCs w:val="15"/>
                <w:color w:val="auto"/>
              </w:rPr>
              <w:t>(1)</w:t>
            </w:r>
          </w:p>
        </w:tc>
        <w:tc>
          <w:tcPr>
            <w:tcW w:w="1120" w:type="dxa"/>
            <w:vAlign w:val="bottom"/>
            <w:tcBorders>
              <w:right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340" w:type="dxa"/>
            <w:vAlign w:val="bottom"/>
            <w:tcBorders>
              <w:right w:val="single" w:sz="8" w:color="auto"/>
            </w:tcBorders>
            <w:vMerge w:val="continue"/>
          </w:tcPr>
          <w:p>
            <w:pPr>
              <w:spacing w:after="0"/>
              <w:rPr>
                <w:sz w:val="18"/>
                <w:szCs w:val="18"/>
                <w:color w:val="auto"/>
              </w:rPr>
            </w:pPr>
          </w:p>
        </w:tc>
        <w:tc>
          <w:tcPr>
            <w:tcW w:w="1160" w:type="dxa"/>
            <w:vAlign w:val="bottom"/>
            <w:tcBorders>
              <w:right w:val="single" w:sz="8" w:color="auto"/>
            </w:tcBorders>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420" w:type="dxa"/>
            <w:vAlign w:val="bottom"/>
            <w:tcBorders>
              <w:right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Adjusted</w:t>
            </w:r>
          </w:p>
        </w:tc>
        <w:tc>
          <w:tcPr>
            <w:tcW w:w="112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1420" w:type="dxa"/>
            <w:vAlign w:val="bottom"/>
            <w:tcBorders>
              <w:right w:val="single" w:sz="8" w:color="auto"/>
            </w:tcBorders>
            <w:shd w:val="clear" w:color="auto" w:fill="CCEEFF"/>
          </w:tcPr>
          <w:p>
            <w:pPr>
              <w:ind w:left="180"/>
              <w:spacing w:after="0" w:line="26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9"/>
                <w:szCs w:val="29"/>
                <w:color w:val="auto"/>
                <w:vertAlign w:val="superscript"/>
              </w:rPr>
              <w:t>(1)</w:t>
            </w:r>
          </w:p>
        </w:tc>
        <w:tc>
          <w:tcPr>
            <w:tcW w:w="1120" w:type="dxa"/>
            <w:vAlign w:val="bottom"/>
            <w:tcBorders>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44,013</w:t>
            </w: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3,556</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40,457</w:t>
            </w:r>
          </w:p>
        </w:tc>
        <w:tc>
          <w:tcPr>
            <w:tcW w:w="1340" w:type="dxa"/>
            <w:vAlign w:val="bottom"/>
            <w:tcBorders>
              <w:right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i w:val="1"/>
                <w:iCs w:val="1"/>
                <w:color w:val="auto"/>
              </w:rPr>
              <w:t>nm</w:t>
            </w:r>
          </w:p>
        </w:tc>
        <w:tc>
          <w:tcPr>
            <w:tcW w:w="1160" w:type="dxa"/>
            <w:vAlign w:val="bottom"/>
            <w:tcBorders>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119,400</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8,019</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111,381</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02"/>
        </w:trPr>
        <w:tc>
          <w:tcPr>
            <w:tcW w:w="142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Adjusted</w:t>
            </w:r>
          </w:p>
        </w:tc>
        <w:tc>
          <w:tcPr>
            <w:tcW w:w="11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4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EBITDA</w:t>
            </w:r>
          </w:p>
        </w:tc>
        <w:tc>
          <w:tcPr>
            <w:tcW w:w="11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1420" w:type="dxa"/>
            <w:vAlign w:val="bottom"/>
            <w:tcBorders>
              <w:bottom w:val="single" w:sz="8" w:color="auto"/>
              <w:right w:val="single" w:sz="8" w:color="auto"/>
            </w:tcBorders>
          </w:tcPr>
          <w:p>
            <w:pPr>
              <w:ind w:left="180"/>
              <w:spacing w:after="0" w:line="267" w:lineRule="exact"/>
              <w:rPr>
                <w:sz w:val="20"/>
                <w:szCs w:val="20"/>
                <w:color w:val="auto"/>
              </w:rPr>
            </w:pPr>
            <w:r>
              <w:rPr>
                <w:rFonts w:ascii="Arial" w:cs="Arial" w:eastAsia="Arial" w:hAnsi="Arial"/>
                <w:sz w:val="18"/>
                <w:szCs w:val="18"/>
                <w:color w:val="auto"/>
              </w:rPr>
              <w:t xml:space="preserve">margin </w:t>
            </w:r>
            <w:r>
              <w:rPr>
                <w:rFonts w:ascii="Arial" w:cs="Arial" w:eastAsia="Arial" w:hAnsi="Arial"/>
                <w:sz w:val="29"/>
                <w:szCs w:val="29"/>
                <w:color w:val="auto"/>
                <w:vertAlign w:val="superscript"/>
              </w:rPr>
              <w:t>(1)</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31%</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13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23%</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not meaningful</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-119380</wp:posOffset>
            </wp:positionV>
            <wp:extent cx="1543050" cy="4286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2021 Financial Results and Operational Highlights:</w:t>
      </w:r>
    </w:p>
    <w:p>
      <w:pPr>
        <w:spacing w:after="0" w:line="225" w:lineRule="exact"/>
        <w:rPr>
          <w:sz w:val="20"/>
          <w:szCs w:val="20"/>
          <w:color w:val="auto"/>
        </w:rPr>
      </w:pPr>
    </w:p>
    <w:p>
      <w:pPr>
        <w:ind w:left="340" w:hanging="332"/>
        <w:spacing w:after="0" w:line="277" w:lineRule="auto"/>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Revenues of $59.6 million; gross profit of $39.0 million (65% gross margin), operating income of $15.0 million (25% operating margin), and net income of $9.7 million;</w:t>
      </w:r>
    </w:p>
    <w:p>
      <w:pPr>
        <w:spacing w:after="0" w:line="150" w:lineRule="exact"/>
        <w:rPr>
          <w:rFonts w:ascii="Arial" w:cs="Arial" w:eastAsia="Arial" w:hAnsi="Arial"/>
          <w:sz w:val="18"/>
          <w:szCs w:val="18"/>
          <w:color w:val="auto"/>
        </w:rPr>
      </w:pPr>
    </w:p>
    <w:p>
      <w:pPr>
        <w:ind w:left="340" w:hanging="332"/>
        <w:spacing w:after="0"/>
        <w:tabs>
          <w:tab w:leader="none" w:pos="340" w:val="left"/>
        </w:tabs>
        <w:numPr>
          <w:ilvl w:val="0"/>
          <w:numId w:val="111"/>
        </w:numPr>
        <w:rPr>
          <w:rFonts w:ascii="Arial" w:cs="Arial" w:eastAsia="Arial" w:hAnsi="Arial"/>
          <w:sz w:val="36"/>
          <w:szCs w:val="36"/>
          <w:color w:val="auto"/>
          <w:vertAlign w:val="superscript"/>
        </w:rPr>
      </w:pPr>
      <w:r>
        <w:rPr>
          <w:rFonts w:ascii="Arial" w:cs="Arial" w:eastAsia="Arial" w:hAnsi="Arial"/>
          <w:sz w:val="18"/>
          <w:szCs w:val="18"/>
          <w:color w:val="auto"/>
        </w:rPr>
        <w:t>Gross mining profit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of $49.1 million (84% gross mining margin);</w:t>
      </w:r>
    </w:p>
    <w:p>
      <w:pPr>
        <w:spacing w:after="0" w:line="105" w:lineRule="exact"/>
        <w:rPr>
          <w:rFonts w:ascii="Arial" w:cs="Arial" w:eastAsia="Arial" w:hAnsi="Arial"/>
          <w:sz w:val="36"/>
          <w:szCs w:val="36"/>
          <w:color w:val="auto"/>
          <w:vertAlign w:val="superscript"/>
        </w:rPr>
      </w:pPr>
    </w:p>
    <w:p>
      <w:pPr>
        <w:ind w:left="340" w:hanging="332"/>
        <w:spacing w:after="0"/>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Adjusted EBITDA of $44.0 million (74% Adjusted EBITDA margin)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EBITDA of $29.1 million (49% EBITDA margin);</w:t>
      </w:r>
    </w:p>
    <w:p>
      <w:pPr>
        <w:spacing w:after="0" w:line="228" w:lineRule="exact"/>
        <w:rPr>
          <w:rFonts w:ascii="Arial" w:cs="Arial" w:eastAsia="Arial" w:hAnsi="Arial"/>
          <w:sz w:val="18"/>
          <w:szCs w:val="18"/>
          <w:color w:val="auto"/>
        </w:rPr>
      </w:pPr>
    </w:p>
    <w:p>
      <w:pPr>
        <w:ind w:left="340" w:hanging="332"/>
        <w:spacing w:after="0" w:line="186" w:lineRule="auto"/>
        <w:tabs>
          <w:tab w:leader="none" w:pos="340" w:val="left"/>
        </w:tabs>
        <w:numPr>
          <w:ilvl w:val="0"/>
          <w:numId w:val="111"/>
        </w:numPr>
        <w:rPr>
          <w:rFonts w:ascii="Arial" w:cs="Arial" w:eastAsia="Arial" w:hAnsi="Arial"/>
          <w:sz w:val="36"/>
          <w:szCs w:val="36"/>
          <w:color w:val="auto"/>
          <w:vertAlign w:val="superscript"/>
        </w:rPr>
      </w:pPr>
      <w:r>
        <w:rPr>
          <w:rFonts w:ascii="Arial" w:cs="Arial" w:eastAsia="Arial" w:hAnsi="Arial"/>
          <w:sz w:val="18"/>
          <w:szCs w:val="18"/>
          <w:color w:val="auto"/>
        </w:rPr>
        <w:t>Mined 1,045 Bitcoin with an average cost of $8,000 per Bitcoin</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and held 3,301 Bitcoin valued at approximately $152.9 million as of December 31, 2021;</w:t>
      </w:r>
    </w:p>
    <w:p>
      <w:pPr>
        <w:spacing w:after="0" w:line="230" w:lineRule="exact"/>
        <w:rPr>
          <w:rFonts w:ascii="Arial" w:cs="Arial" w:eastAsia="Arial" w:hAnsi="Arial"/>
          <w:sz w:val="36"/>
          <w:szCs w:val="36"/>
          <w:color w:val="auto"/>
          <w:vertAlign w:val="superscript"/>
        </w:rPr>
      </w:pPr>
    </w:p>
    <w:p>
      <w:pPr>
        <w:ind w:left="340" w:hanging="332"/>
        <w:spacing w:after="0" w:line="277" w:lineRule="auto"/>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Entered into a revolving credit facility collateralized by Bitcoin for up to $100 million, of which $60 million was drawn as of December 31, 2021 with 1,875 of the Company’s 3,301 Bitcoin pledged as collateral;</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Completed construction of a new 10 MW facility in Paraguay and acquired a facility in Washington state, currently operating at 17 MW with the opportunity to increase to 24 MW;</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Raised $110.4 million of net proceeds through the Company’s at-the-market equity program, used mainly to meet payment commitments on orders of 49,200 miners, with expected deliveries in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Year 2021 Financial Results and Operational Highlights:</w:t>
      </w:r>
    </w:p>
    <w:p>
      <w:pPr>
        <w:spacing w:after="0" w:line="225" w:lineRule="exact"/>
        <w:rPr>
          <w:sz w:val="20"/>
          <w:szCs w:val="20"/>
          <w:color w:val="auto"/>
        </w:rPr>
      </w:pPr>
    </w:p>
    <w:p>
      <w:pPr>
        <w:ind w:left="340" w:right="20" w:hanging="332"/>
        <w:spacing w:after="0" w:line="277" w:lineRule="auto"/>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Revenues of $169.5 million; gross profit of $111.1 million (66% gross margin), operating income of $63.6 million (38% operating margin), and net income of $22.1 million;</w:t>
      </w:r>
    </w:p>
    <w:p>
      <w:pPr>
        <w:spacing w:after="0" w:line="150" w:lineRule="exact"/>
        <w:rPr>
          <w:rFonts w:ascii="Arial" w:cs="Arial" w:eastAsia="Arial" w:hAnsi="Arial"/>
          <w:sz w:val="18"/>
          <w:szCs w:val="18"/>
          <w:color w:val="auto"/>
        </w:rPr>
      </w:pPr>
    </w:p>
    <w:p>
      <w:pPr>
        <w:ind w:left="340" w:hanging="332"/>
        <w:spacing w:after="0"/>
        <w:tabs>
          <w:tab w:leader="none" w:pos="340" w:val="left"/>
        </w:tabs>
        <w:numPr>
          <w:ilvl w:val="0"/>
          <w:numId w:val="112"/>
        </w:numPr>
        <w:rPr>
          <w:rFonts w:ascii="Arial" w:cs="Arial" w:eastAsia="Arial" w:hAnsi="Arial"/>
          <w:sz w:val="36"/>
          <w:szCs w:val="36"/>
          <w:color w:val="auto"/>
          <w:vertAlign w:val="superscript"/>
        </w:rPr>
      </w:pPr>
      <w:r>
        <w:rPr>
          <w:rFonts w:ascii="Arial" w:cs="Arial" w:eastAsia="Arial" w:hAnsi="Arial"/>
          <w:sz w:val="18"/>
          <w:szCs w:val="18"/>
          <w:color w:val="auto"/>
        </w:rPr>
        <w:t>Gross mining profit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of $134.9 million (82% gross mining margin);</w:t>
      </w:r>
    </w:p>
    <w:p>
      <w:pPr>
        <w:spacing w:after="0" w:line="78" w:lineRule="exact"/>
        <w:rPr>
          <w:rFonts w:ascii="Arial" w:cs="Arial" w:eastAsia="Arial" w:hAnsi="Arial"/>
          <w:sz w:val="36"/>
          <w:szCs w:val="36"/>
          <w:color w:val="auto"/>
          <w:vertAlign w:val="superscript"/>
        </w:rPr>
      </w:pPr>
    </w:p>
    <w:p>
      <w:pPr>
        <w:ind w:left="340" w:hanging="332"/>
        <w:spacing w:after="0"/>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Adjusted EBITDA of $119.4 million (70% Adjusted EBITDA margin);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EBITDA of $70.5 million (42% EBITDA margin);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Mined 3,453 Bitcoin with an average cost of $8,100 per Bitcoin and deposited 3,301 Bitcoin, or 96% of 2021 Bitcoin production into custody;</w:t>
      </w:r>
    </w:p>
    <w:p>
      <w:pPr>
        <w:spacing w:after="0" w:line="23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Increased hashrate from 0.97 EH/s to 2.24 EH/s through the acquisition and installation of approximately 10,500 MicroBT Whatsminers and 7,000 Bitmain Antminer S19j Pros.</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Constructed a new 17 MW facility in Cowansville, Québec, replacing the previous 4 MW facility, a new 10 MW facility in Paraguay and acquired a facility in Washington state currently operating at 17 MW for a net increase of 40 MW of operating capacity;</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Signed a power contract for up to 210 MW with a private energy supplier in Argentina and commenced construction of two 50 MW warehouses as described in the Argentina Expansion section of this MD&amp;A;</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Reached an agreement in September 2021, with the City of Sherbrooke, Québec to fully develop the Company’s 96 MW of power contracts within the municipality as described in the Sherbrooke Expansion section of this MD&amp;A;</w:t>
      </w:r>
    </w:p>
    <w:p>
      <w:pPr>
        <w:spacing w:after="0" w:line="17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Commenced trading on Nasdaq under the symbol “BITF” on June 21, 2021 and raised $145.6 million of net proceeds through the Company’s at-the-market equity program and CAD $155.0 million from four private placements, used primarily to meet payment commitments on miners delivered in 2021, orders of 49,200 miners with expected deliveries in 2022, to acquire the facility in Washington state, as well as other infrastructure initiatives in Quebec.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78308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7" w:lineRule="exact"/>
        <w:rPr>
          <w:sz w:val="20"/>
          <w:szCs w:val="20"/>
          <w:color w:val="auto"/>
        </w:rPr>
      </w:pPr>
    </w:p>
    <w:p>
      <w:pPr>
        <w:ind w:left="340" w:right="20" w:hanging="332"/>
        <w:spacing w:after="0" w:line="194" w:lineRule="auto"/>
        <w:tabs>
          <w:tab w:leader="none" w:pos="340" w:val="left"/>
        </w:tabs>
        <w:numPr>
          <w:ilvl w:val="0"/>
          <w:numId w:val="113"/>
        </w:numPr>
        <w:rPr>
          <w:rFonts w:ascii="Arial" w:cs="Arial" w:eastAsia="Arial" w:hAnsi="Arial"/>
          <w:sz w:val="30"/>
          <w:szCs w:val="30"/>
          <w:color w:val="auto"/>
          <w:vertAlign w:val="superscript"/>
        </w:rPr>
      </w:pPr>
      <w:r>
        <w:rPr>
          <w:rFonts w:ascii="Arial" w:cs="Arial" w:eastAsia="Arial" w:hAnsi="Arial"/>
          <w:sz w:val="18"/>
          <w:szCs w:val="18"/>
          <w:color w:val="auto"/>
        </w:rPr>
        <w:t>Gross mining profit, Gross mining margin, EBITDA, EBITDA margin, Adjusted EBITDA and Adjusted EBITDA margin, are non-IFRS performance measures; refer to the Non-IFRS Financial Performance Measures section of this MD&amp;A.</w:t>
      </w:r>
    </w:p>
    <w:p>
      <w:pPr>
        <w:ind w:left="340" w:hanging="332"/>
        <w:spacing w:after="0" w:line="187" w:lineRule="auto"/>
        <w:tabs>
          <w:tab w:leader="none" w:pos="340" w:val="left"/>
        </w:tabs>
        <w:numPr>
          <w:ilvl w:val="0"/>
          <w:numId w:val="114"/>
        </w:numPr>
        <w:rPr>
          <w:rFonts w:ascii="Arial" w:cs="Arial" w:eastAsia="Arial" w:hAnsi="Arial"/>
          <w:sz w:val="30"/>
          <w:szCs w:val="30"/>
          <w:color w:val="auto"/>
          <w:vertAlign w:val="superscript"/>
        </w:rPr>
      </w:pPr>
      <w:r>
        <w:rPr>
          <w:rFonts w:ascii="Arial" w:cs="Arial" w:eastAsia="Arial" w:hAnsi="Arial"/>
          <w:sz w:val="18"/>
          <w:szCs w:val="18"/>
          <w:color w:val="auto"/>
        </w:rPr>
        <w:t>Represents the direct cost of Bitcoin based on the total electricity costs and, where applicable, hosting costs related to the Mining of Bitcoin, excluding electricity consumed by hosting clients, divided by the total number of Bitcoin mined.</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-119380</wp:posOffset>
            </wp:positionV>
            <wp:extent cx="1543050" cy="4286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Revenues were $59.6 million for the three month period ended December 31, 2021 (“Q4 2021”) compared to $11.3 million for the same three month period in 2020 (“Q4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 in thousands except where indicated)</w:t>
            </w: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Note</w:t>
            </w: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Bitcoin</w:t>
            </w: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(USD)</w:t>
            </w: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02"/>
        </w:trPr>
        <w:tc>
          <w:tcPr>
            <w:tcW w:w="6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Revenues, including Volta during the three-month period ended December 31,</w:t>
            </w:r>
          </w:p>
        </w:tc>
        <w:tc>
          <w:tcPr>
            <w:tcW w:w="1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1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577</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11,324</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02"/>
        </w:trPr>
        <w:tc>
          <w:tcPr>
            <w:tcW w:w="6020" w:type="dxa"/>
            <w:vAlign w:val="bottom"/>
          </w:tcPr>
          <w:p>
            <w:pPr>
              <w:spacing w:after="0" w:line="201" w:lineRule="exact"/>
              <w:rPr>
                <w:sz w:val="20"/>
                <w:szCs w:val="20"/>
                <w:color w:val="auto"/>
              </w:rPr>
            </w:pPr>
            <w:r>
              <w:rPr>
                <w:rFonts w:ascii="Arial" w:cs="Arial" w:eastAsia="Arial" w:hAnsi="Arial"/>
                <w:sz w:val="18"/>
                <w:szCs w:val="18"/>
                <w:color w:val="auto"/>
              </w:rPr>
              <w:t>Impact of increase in average Bitfarms’ Bitcoin hashrate in excess of the</w:t>
            </w:r>
          </w:p>
        </w:tc>
        <w:tc>
          <w:tcPr>
            <w:tcW w:w="1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6020" w:type="dxa"/>
            <w:vAlign w:val="bottom"/>
          </w:tcPr>
          <w:p>
            <w:pPr>
              <w:ind w:left="180"/>
              <w:spacing w:after="0"/>
              <w:rPr>
                <w:sz w:val="20"/>
                <w:szCs w:val="20"/>
                <w:color w:val="auto"/>
              </w:rPr>
            </w:pPr>
            <w:r>
              <w:rPr>
                <w:rFonts w:ascii="Arial" w:cs="Arial" w:eastAsia="Arial" w:hAnsi="Arial"/>
                <w:sz w:val="18"/>
                <w:szCs w:val="18"/>
                <w:color w:val="auto"/>
              </w:rPr>
              <w:t>increase in difficulty during Q4 2021 compared to Q4 2020</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468</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7,989</w:t>
            </w:r>
          </w:p>
        </w:tc>
        <w:tc>
          <w:tcPr>
            <w:tcW w:w="13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w w:val="96"/>
              </w:rPr>
              <w:t>Impact of difference in average Bitcoin price in Q4 2021 compared to Q4 2020</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40,569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50"/>
        </w:trPr>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mining variance and change in Volta and hosting revenues</w:t>
            </w:r>
          </w:p>
        </w:tc>
        <w:tc>
          <w:tcPr>
            <w:tcW w:w="1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Revenues for three months ended December 31, 2021</w:t>
            </w:r>
          </w:p>
        </w:tc>
        <w:tc>
          <w:tcPr>
            <w:tcW w:w="1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1,045</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59,598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054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05460" cy="17145"/>
                    </a:xfrm>
                    <a:prstGeom prst="rect">
                      <a:avLst/>
                    </a:prstGeom>
                    <a:noFill/>
                  </pic:spPr>
                </pic:pic>
              </a:graphicData>
            </a:graphic>
          </wp:anchor>
        </w:drawing>
      </w:r>
    </w:p>
    <w:p>
      <w:pPr>
        <w:spacing w:after="0" w:line="16" w:lineRule="exact"/>
        <w:rPr>
          <w:sz w:val="20"/>
          <w:szCs w:val="20"/>
          <w:color w:val="auto"/>
        </w:rPr>
      </w:pPr>
    </w:p>
    <w:p>
      <w:pPr>
        <w:ind w:left="920" w:hanging="559"/>
        <w:spacing w:after="0"/>
        <w:tabs>
          <w:tab w:leader="none" w:pos="9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Calculated as the difference in Bitcoin mined in Q4 2021 compared to Q4 2020 multiplied by Q4 2020 average Bitcoin price</w:t>
      </w:r>
    </w:p>
    <w:p>
      <w:pPr>
        <w:spacing w:after="0" w:line="225" w:lineRule="exact"/>
        <w:rPr>
          <w:sz w:val="20"/>
          <w:szCs w:val="20"/>
          <w:color w:val="auto"/>
        </w:rPr>
      </w:pPr>
    </w:p>
    <w:p>
      <w:pPr>
        <w:ind w:left="920" w:hanging="559"/>
        <w:spacing w:after="0"/>
        <w:tabs>
          <w:tab w:leader="none" w:pos="9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Calculated as the difference in average Bitcoin price in Q4 2021 compared to Q4 2020 multiplied by Bitcoin mined in Q4 2021</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most significant factors impacting the increase in Bitfarms’ revenues in Q4 2021, compared to Q4 2020, are presented in the table above. Revenues increased mostly due to the increase in average Bitcoin price and the increase in Bitfarms’ hashrate in excess of the increase in network difficulty.</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Revenues were $169.5 million for the twelve-month period ended December 31, 2021 (“FY 2021”) compared to $34.7 million for the same twelve month period in 2020 (“FY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 in thousands except where indicated)</w:t>
            </w: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Note</w:t>
            </w: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Bitcoin</w:t>
            </w: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(USD)</w:t>
            </w: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Revenues, including Volta during the twelve-month period ended 2020</w:t>
            </w:r>
          </w:p>
        </w:tc>
        <w:tc>
          <w:tcPr>
            <w:tcW w:w="1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3,014</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34,703</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02"/>
        </w:trPr>
        <w:tc>
          <w:tcPr>
            <w:tcW w:w="6020" w:type="dxa"/>
            <w:vAlign w:val="bottom"/>
          </w:tcPr>
          <w:p>
            <w:pPr>
              <w:spacing w:after="0" w:line="201" w:lineRule="exact"/>
              <w:rPr>
                <w:sz w:val="20"/>
                <w:szCs w:val="20"/>
                <w:color w:val="auto"/>
              </w:rPr>
            </w:pPr>
            <w:r>
              <w:rPr>
                <w:rFonts w:ascii="Arial" w:cs="Arial" w:eastAsia="Arial" w:hAnsi="Arial"/>
                <w:sz w:val="18"/>
                <w:szCs w:val="18"/>
                <w:color w:val="auto"/>
              </w:rPr>
              <w:t>Impact of increase in average Bitfarms’ Bitcoin hashrate in excess of the</w:t>
            </w:r>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increase in network difficulty during FY 2021 adjusted for Bitcoin Halving</w:t>
            </w: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6020" w:type="dxa"/>
            <w:vAlign w:val="bottom"/>
          </w:tcPr>
          <w:p>
            <w:pPr>
              <w:ind w:left="180"/>
              <w:spacing w:after="0"/>
              <w:rPr>
                <w:sz w:val="20"/>
                <w:szCs w:val="20"/>
                <w:color w:val="auto"/>
              </w:rPr>
            </w:pPr>
            <w:r>
              <w:rPr>
                <w:rFonts w:ascii="Arial" w:cs="Arial" w:eastAsia="Arial" w:hAnsi="Arial"/>
                <w:sz w:val="18"/>
                <w:szCs w:val="18"/>
                <w:color w:val="auto"/>
              </w:rPr>
              <w:t>Event on May 11, 2020</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1,286</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13,288</w:t>
            </w: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2"/>
        </w:trPr>
        <w:tc>
          <w:tcPr>
            <w:tcW w:w="6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Impact of Bitcoin Halving Event on Bitfarms’ quantity of coins mined during</w:t>
            </w:r>
          </w:p>
        </w:tc>
        <w:tc>
          <w:tcPr>
            <w:tcW w:w="1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FY 2021</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(847)</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(40,330)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w w:val="96"/>
              </w:rPr>
              <w:t>Impact of difference in average Bitcoin price in FY 2021 compared to FY 2020</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38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160,313</w:t>
            </w:r>
          </w:p>
        </w:tc>
        <w:tc>
          <w:tcPr>
            <w:tcW w:w="1320" w:type="dxa"/>
            <w:vAlign w:val="bottom"/>
          </w:tcPr>
          <w:p>
            <w:pPr>
              <w:jc w:val="right"/>
              <w:spacing w:after="0"/>
              <w:rPr>
                <w:sz w:val="20"/>
                <w:szCs w:val="20"/>
                <w:color w:val="auto"/>
              </w:rPr>
            </w:pPr>
            <w:r>
              <w:rPr>
                <w:rFonts w:ascii="Arial" w:cs="Arial" w:eastAsia="Arial" w:hAnsi="Arial"/>
                <w:sz w:val="18"/>
                <w:szCs w:val="18"/>
                <w:color w:val="auto"/>
              </w:rPr>
              <w:t>462%</w:t>
            </w:r>
          </w:p>
        </w:tc>
      </w:tr>
      <w:tr>
        <w:trPr>
          <w:trHeight w:val="250"/>
        </w:trPr>
        <w:tc>
          <w:tcPr>
            <w:tcW w:w="6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mining variance and change in Volta and hosting revenues</w:t>
            </w:r>
          </w:p>
        </w:tc>
        <w:tc>
          <w:tcPr>
            <w:tcW w:w="12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1,517</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Revenues for twelve months ended December 31, 2021</w:t>
            </w:r>
          </w:p>
        </w:tc>
        <w:tc>
          <w:tcPr>
            <w:tcW w:w="128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3,453</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169,491</w:t>
            </w:r>
          </w:p>
        </w:tc>
        <w:tc>
          <w:tcPr>
            <w:tcW w:w="1320" w:type="dxa"/>
            <w:vAlign w:val="bottom"/>
          </w:tcPr>
          <w:p>
            <w:pPr>
              <w:jc w:val="right"/>
              <w:spacing w:after="0"/>
              <w:rPr>
                <w:sz w:val="20"/>
                <w:szCs w:val="20"/>
                <w:color w:val="auto"/>
              </w:rPr>
            </w:pPr>
            <w:r>
              <w:rPr>
                <w:rFonts w:ascii="Arial" w:cs="Arial" w:eastAsia="Arial" w:hAnsi="Arial"/>
                <w:sz w:val="18"/>
                <w:szCs w:val="18"/>
                <w:color w:val="auto"/>
              </w:rPr>
              <w:t>388%</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054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05460" cy="17145"/>
                    </a:xfrm>
                    <a:prstGeom prst="rect">
                      <a:avLst/>
                    </a:prstGeom>
                    <a:noFill/>
                  </pic:spPr>
                </pic:pic>
              </a:graphicData>
            </a:graphic>
          </wp:anchor>
        </w:drawing>
      </w:r>
    </w:p>
    <w:p>
      <w:pPr>
        <w:spacing w:after="0" w:line="3" w:lineRule="exact"/>
        <w:rPr>
          <w:sz w:val="20"/>
          <w:szCs w:val="20"/>
          <w:color w:val="auto"/>
        </w:rPr>
      </w:pPr>
    </w:p>
    <w:p>
      <w:pPr>
        <w:ind w:left="960" w:right="60" w:hanging="582"/>
        <w:spacing w:after="0" w:line="276" w:lineRule="auto"/>
        <w:tabs>
          <w:tab w:leader="none" w:pos="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Calculated as the difference in theoretical Bitcoin mined in FY 2021 assuming the Bitcoin Halving Event did not occur, compared to FY 2020 multiplied by FY 2020 average Bitcoin price</w:t>
      </w:r>
    </w:p>
    <w:p>
      <w:pPr>
        <w:spacing w:after="0" w:line="171" w:lineRule="exact"/>
        <w:rPr>
          <w:sz w:val="20"/>
          <w:szCs w:val="20"/>
          <w:color w:val="auto"/>
        </w:rPr>
      </w:pPr>
    </w:p>
    <w:p>
      <w:pPr>
        <w:jc w:val="both"/>
        <w:ind w:left="960" w:right="40" w:hanging="582"/>
        <w:spacing w:after="0" w:line="263" w:lineRule="auto"/>
        <w:tabs>
          <w:tab w:leader="none" w:pos="9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Calculated as the theoretical Bitcoin mined based on Bitfarms’ actual hashrate from January 1, 2021 to May 11, 2021 assuming the Bitcoin Halving Event did not occur, compared to actual coins mined during the same period in the prior year multiplied by the FY 2021 average Bitcoin price</w:t>
      </w:r>
    </w:p>
    <w:p>
      <w:pPr>
        <w:spacing w:after="0" w:line="184" w:lineRule="exact"/>
        <w:rPr>
          <w:sz w:val="20"/>
          <w:szCs w:val="20"/>
          <w:color w:val="auto"/>
        </w:rPr>
      </w:pPr>
    </w:p>
    <w:p>
      <w:pPr>
        <w:ind w:left="960" w:right="60" w:hanging="582"/>
        <w:spacing w:after="0" w:line="277" w:lineRule="auto"/>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Calculated as the difference in average Bitcoin price in FY 2021 compared to FY 2020 multiplied by Bitcoins mined in FY 2021 less the reduction in Bitcoin mined as a result of the Bitcoin Halving event</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-119380</wp:posOffset>
            </wp:positionV>
            <wp:extent cx="1543050" cy="4286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most significant factors impacting the increase in Bitfarms’ revenues in FY 2021, compared to FY 2020, are presented in the table above. Revenues increased mostly due to the increase in average Bitcoin price and in Bitfarms’ hashrate in excess of network difficulty, partially negated by the Bitcoin Halving Event.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Bitfarms’ cost of sales for Q4 2021 was $20.6 million compared to $8.6 million in Q4 2020. Cost of sales includes energy and infrastructure expenses, depreciation and amortization, electrician salaries and payroll taxes and purchases of electrical components. The increase in cost of sales was mainly due to the increase in energy and infrastructure expenses and depreciation and amortization. Energy and infrastructure expenses increased by $4.3 million, or 86%, partially due to the Company adding new Miners, which increased electricity utilization to an average of 88 MW during the quarter, compared to 55 MW for the same period in 2020, resulting in an increase in electricity costs of $2.4 million. The remaining difference resulted mainly from the Company entering into certain hosting agreements under which a third party operated the Company’s equipment, adding $1.1 million to energy and infrastructure costs in Q4 2021 compared to Q4 2020. On November 9, 2021, the Company acquired the facility and terminated its only remaining hosting arrangement as described below in the Washington Expansion. The Company also invested additional resources to repair existing Mining hardware and upgrade existing facilities, which added $0.6 million to energy and infrastructure expenses in Q4 2021 compared to the same quarter in the prior year. Depreciation and amortization expense increased by $7.3 million as the Company added new Miners and electrical infrastructure. Volta’s cost of sales increased by $0.4 million as a result of an increase in sales.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Bitfarms’ cost of sales for the twelve months ended December 31, 2021, was $58.4 million compared to $31.8 million for the same period in 2020. The increase in cost of sales was mainly due to the increase in energy and infrastructure expenses and depreciation and amortization expense. Energy and infrastructure increased by $11.9 million, or 65%, partially due to the Company adding new Miners, which increased electrical utilization to an average of 66 MW during the period, compared to 51 MW for the same period in 2020 resulting in an increase in electricity costs of $6.3 million. The remaining difference in FY 2021 compared to FY 2020 resulted from the Company entering into certain hosting agreements where a third party operated the Company’s equipment, which added $4.1 million to cost of sales. As described above, the Company terminated the hosting agreement on November 9, 2021. The Company also invested additional resources to repair existing Mining hardware and upgrade existing facilities, which added $1.4 million to energy and infrastructure expenses. Depreciation and amortization expense increased by $12.9 million as the Company added new Miners and electrical infrastructure. Volta’s cost of sales increased by $1.8 million as a result of an increase in sales.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&amp; Administrative Expenses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Bitfarms’ general and administrative expenses were $18.9 million in Q4 2021, compared to $2.3 million in Q4 2020. The increase of $16.6 million, or 722%, in general and administrative expense was mainly due to a non-cash $9.6 million increase in share based payment expense in connection with the Company’s grant of stock options for 10,775,000 common shares and 200,000 restricted share units during 2021. Other factors contributing to the increase in general and administrative expenses in Q4 2021 compared to Q4 2020 were a $1.6 million increase in professional and other fees, mainly in connection with the Company’s acquisition of a Mining facility in Washington state, engineering feasibility studies performed for the Argentina Expansion, legal fees in connection with the Company’s ongoing compliance as a result of its Nasdaq listing and at-the-market-offering, and increased public and investor relations activities. The company also incurred a $3.2 million increase in salaries expense as a result of implementing incentive plans, hiring additional employees to support its international expansion and no longer qualifying for the Canada Emergency Wage Subsidy (CEWS). The Company’s insurance expense also increased by $0.7 million as a result of an appreciation in the insurable value of the Company’s assets, increased industry-specific insurance premiums, as well as greater corporate liability in connection with the Company’s Nasdaq listing. In Q4 2021 company also shipped Mining hardware that was used in Quebec to other jurisdictions resulting in incurring non-refundable taxes and duties in the amount of $1.0 million included in general and administrative expenses that did not exist in Q4 2020.</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-119380</wp:posOffset>
            </wp:positionV>
            <wp:extent cx="1543050" cy="4286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For the twelve months ended December 31, 2021, Bitfarms’ general and administrative and other expenses were $43.2 million, compared to $8.3 million for the same period in 2020. The increase of $34.9 million, or 420%, in general and administrative expense was mainly due to a $20.4 million increase in non-cash share based payment expense in connection with the Company’s grant of stock options to purchase 10,775,000 common shares and 200,000 restricted share units during 2021. Other factors contributing to the increase in general and administrative expenses in FY 2021 compared to FY 2020 were a $5.0 million increase in professional and other fees, mainly in connection with the Company’s Nasdaq listing, engineering and feasibility studies performed for the Argentina expansion and increased public and investor relations efforts. The Company also incurred a $5.0 million increase in salaries expense as a result of implementing incentive plans and hiring additional employees to support the Company’s international expansion, as well as no longer qualifying for the CEWS. The Company’s insurance expense has also increased by $1.7 million as a result of an appreciation in the insurable value of the Company’s assets, increased industry-specific insurance premiums, as well as greater corporate liability in connection with the Company’s Nasdaq listing on June 21, 2021. In FY 2021 company also shipped Mining hardware that was used in Quebec to other jurisdictions resulting in incurring non-refundable taxes and duties in the amount of $1.5 million included in general and administrative expenses that did not exist in FY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financial income and expenses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Bitfarms’ net financial income for Q4 2021 was $2.9 million compared to net financial expenses of $5.5 million in Q4 2020. The $8.4 million change was primarily related to a $3.9 million loss on revaluation of warrants related to the Dominion loan in Q4 2020, which were exercised in Q1 2021 and not applicable in Q4 2021, partially offset by a gain on embedded derivative of $0.3 million in Q4 2020 that no longer existed in Q4 2021. The repayment of the Dominion loan contributed to a decrease of $0.8 million in interest on long-term debt. The increase in net financial income included a $3.9 million gain on disposition of marketable securities, mainly related to the funding of the Argentina Expansion, that did not exist in Q4 2020. The Company has funded its expansion in Argentina through the acquisition of marketable securities and in-kind contribution of these securities to a company in Argentina that it controls. The subsequent disposition of these marketable securities in exchange for Argentine Pesos gives rise to a gain as the amount received in Pesos exceeds the amount of Pesos the Company would have received from a direct foreign currency exchange.</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Bitfarms’ net financial expenses for the twelve months ended December 31, 2021, were $21.0 million compared to $9.4 million for the twelve months ended December 31, 2020. The $11.6 million increase in net financial expenses was mainly due to a non-cash $19.5 million loss recorded on revaluation of warrants in Q1 2021 compared to $3.9 million in FY 2020. The warrants were issued in connection with the private placement that closed on January 7, 2021, and had a strike price denominated in Canadian dollars, whereas the Company’s functional currency is the U.S. dollar. Fluctuations in the Canadian to U.S. dollar exchange rate could result in the Company receiving a variable amount of cash in its functional currency in exchange for the exercise of the warrants. The possibility of variation in the settlement price in the Company’s functional currency, required under IFRS, that the warrants be classified as a liability that is measured at fair value through profit or loss. The appreciation in the Company’s share price in Q1 2021 resulted in a higher value being attributed to the warrant liability and the common shares issued in settlement of the liability, resulting in the non-cash loss described above. These expenses are considered non-recurring as all warrants that were classified at fair value through profit or loss have been exercised as of Q1 2021. In addition, there was a $2.6 million loss on revaluation of an embedded derivative recorded in Q1 2021 due to the early retirement of the Dominion Capital loan, compared to a $1.0 million gain on revaluation of the same embedded derivative in FY 2020, resulting in a net increase in financial expenses of $3.6 million. The embedded derivative was derecognized in Q1 2021 when the Company retired the loan with Dominion Capital. Interest on long-term debt for FY 2021 decreased by $3.4 million compared to FY 2020 as a result of the repayment of the Dominion loan, but was offset by a $0.7 million increase in interest on lease liabilities, mainly related to equipment financed through lease agreements, a $0.7 million increase in warrant issuance costs in connection with the private placement described above, a $0.4 million increase in loss on currency exchange and $0.1 million increase in other financial expenses. Net financial expenses were further reduced by a $6.1 million gain on disposition of marketable securities related to the funding of the Argentina Expansion, as described above.</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-119380</wp:posOffset>
            </wp:positionV>
            <wp:extent cx="1543050" cy="4286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on property, plant and equipment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reverse acquisition of Bitfarms Ltd. (Israel), the Company engaged an independent appraiser to support management’s determination of fair value as at the acquisition date, April 12, 2018 of Suni, an iron ore deposit located in Canada, held by the acquiree. The appraiser’s valuation report was based on the comparison method and the analysis of similar assets. Following certain adjustments resulting from changes in the price of iron ore, among other variables, Suni’s value at April 12, 2018 was estimated at $9.0 million. The independent appraiser was also engaged to support management’s determination of Suni’s fair value as at December 31, 2021 and 2020. Using the same valuation techniques, the appraiser determined that the value of Suni was $7.7 million on December 31, 2021, or $7.2 million reflecting estimated costs to sell, compared to $9.0 million on December 31, 2020 which resulted in impairment of $1.8 million to Suni’s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reversal on property, plant and equipment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year-ended December 31, 2018, the Company recorded an impairment loss on its cryptocurrency mining cash generating unit (CGU) which resulted in $16.5 million of impairment being allocated to Mining hardware, electrical components and leasehold improvements due to a significant decline in the Bitcoin market price.</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twelve months ended December 31, 2021, the Company assessed whether there was an indication that the impairment loss recognized in 2018 may no longer exist or may have decreased, and concluded that there were observable indications that the CGU’s value had increased during the period. As a result, the Company’s management estimated the recoverable amount of the CGU, using a value in use calculation based on the present value of the expected cash flows over the estimated remaining useful life of the previously impaired CGU assets of approximately 1.5 years. Based on management’s calculations, an impairment reversal of $1.0 million, relating to the CGU, was recognized during the period. The increased carrying amount of the CGU assets reflects the carrying amount of the CGU assets that would have been determined, net of depreciation, had no impairment loss been recognized in 2018.</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Antminer S9 miners were excluded from the CGU’s value-in-use calculation as they have been disconnected and reclassified as assets held for sale. The Company’s management determined that the carrying amount, including the impairment recognized in 2018, was less than the estimated fair value less costs to sell. As a result, the Company recognized an impairment reversal of $0.9 million relating to the impaired Antminer S9 miners held for sale, reflecting the carrying amount that would have been determined, net of depreciation, had no impairment loss been recognized in 2018.</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total impairment reversal recognized during the period, relating to the CGU assets and the assets held for sale totaled $1.9 million. For further details on the key assumptions used in the value-in-use calculation, please refer to Note 9 of the Company’s annual 2021 consolidated financial statements.</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-119380</wp:posOffset>
            </wp:positionV>
            <wp:extent cx="1543050" cy="4286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Selected Annual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There have not been any distributions or cash dividends declared per share on any class of shares of the three years disclosed in the table below.</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gridSpan w:val="2"/>
          </w:tcPr>
          <w:p>
            <w:pPr>
              <w:spacing w:after="0"/>
              <w:rPr>
                <w:sz w:val="20"/>
                <w:szCs w:val="20"/>
                <w:color w:val="auto"/>
              </w:rPr>
            </w:pPr>
            <w:r>
              <w:rPr>
                <w:rFonts w:ascii="Arial" w:cs="Arial" w:eastAsia="Arial" w:hAnsi="Arial"/>
                <w:sz w:val="18"/>
                <w:szCs w:val="18"/>
                <w:color w:val="auto"/>
              </w:rPr>
              <w:t>(U.S.$ in thousands except where indicated)</w:t>
            </w:r>
          </w:p>
        </w:tc>
        <w:tc>
          <w:tcPr>
            <w:tcW w:w="11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Arial" w:cs="Arial" w:eastAsia="Arial" w:hAnsi="Arial"/>
                <w:sz w:val="18"/>
                <w:szCs w:val="18"/>
                <w:color w:val="auto"/>
              </w:rPr>
              <w:t>For the years ended December 31,</w:t>
            </w:r>
          </w:p>
        </w:tc>
        <w:tc>
          <w:tcPr>
            <w:tcW w:w="11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169,491</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34,703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63,640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(6,731)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earnings (loss) attributable to:</w:t>
            </w: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Shareholders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22,130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(16,289)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Basic earnings (loss) per share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0.14</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(0.19)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50"/>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0.13</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current assets</w:t>
            </w: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287,127</w:t>
            </w:r>
          </w:p>
        </w:tc>
        <w:tc>
          <w:tcPr>
            <w:tcW w:w="2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9,168</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6,550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255,460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42,536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46,306</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assets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542,587</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51,704</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52,856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101,178</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28,477</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Long-term debt</w:t>
            </w:r>
          </w:p>
        </w:tc>
        <w:tc>
          <w:tcPr>
            <w:tcW w:w="11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910</w:t>
            </w:r>
          </w:p>
        </w:tc>
        <w:tc>
          <w:tcPr>
            <w:tcW w:w="2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174</w:t>
            </w:r>
          </w:p>
        </w:tc>
        <w:tc>
          <w:tcPr>
            <w:tcW w:w="2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14,849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9,227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5,717</w:t>
            </w:r>
          </w:p>
        </w:tc>
        <w:tc>
          <w:tcPr>
            <w:tcW w:w="0" w:type="dxa"/>
            <w:vAlign w:val="bottom"/>
          </w:tcPr>
          <w:p>
            <w:pPr>
              <w:spacing w:after="0"/>
              <w:rPr>
                <w:sz w:val="1"/>
                <w:szCs w:val="1"/>
                <w:color w:val="auto"/>
              </w:rPr>
            </w:pPr>
          </w:p>
        </w:tc>
      </w:tr>
      <w:tr>
        <w:trPr>
          <w:trHeight w:val="23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Deferred tax and other non-current liabilities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8,690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18,827</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line="203" w:lineRule="exact"/>
              <w:rPr>
                <w:sz w:val="20"/>
                <w:szCs w:val="20"/>
                <w:color w:val="auto"/>
              </w:rPr>
            </w:pPr>
            <w:r>
              <w:rPr>
                <w:rFonts w:ascii="Arial" w:cs="Arial" w:eastAsia="Arial" w:hAnsi="Arial"/>
                <w:sz w:val="18"/>
                <w:szCs w:val="18"/>
                <w:color w:val="auto"/>
              </w:rPr>
              <w:t>Total liabilities</w:t>
            </w:r>
          </w:p>
        </w:tc>
        <w:tc>
          <w:tcPr>
            <w:tcW w:w="11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120,005</w:t>
            </w:r>
          </w:p>
        </w:tc>
        <w:tc>
          <w:tcPr>
            <w:tcW w:w="2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36,257</w:t>
            </w:r>
          </w:p>
        </w:tc>
        <w:tc>
          <w:tcPr>
            <w:tcW w:w="2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24,768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422,582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15,447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28,088</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liabilities and equity</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542,587</w:t>
            </w: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51,704</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52,856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7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-119380</wp:posOffset>
            </wp:positionV>
            <wp:extent cx="1543050" cy="4286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w w:val="95"/>
              </w:rPr>
              <w:t>Selected Quarterly Information</w:t>
            </w:r>
          </w:p>
        </w:tc>
        <w:tc>
          <w:tcPr>
            <w:tcW w:w="1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80" w:type="dxa"/>
            <w:vAlign w:val="bottom"/>
            <w:vMerge w:val="restart"/>
          </w:tcPr>
          <w:p>
            <w:pPr>
              <w:spacing w:after="0"/>
              <w:rPr>
                <w:sz w:val="20"/>
                <w:szCs w:val="20"/>
                <w:color w:val="auto"/>
              </w:rPr>
            </w:pPr>
            <w:r>
              <w:rPr>
                <w:rFonts w:ascii="Arial" w:cs="Arial" w:eastAsia="Arial" w:hAnsi="Arial"/>
                <w:sz w:val="18"/>
                <w:szCs w:val="18"/>
                <w:color w:val="auto"/>
              </w:rPr>
              <w:t>(U.S. $ in thousands except</w:t>
            </w:r>
          </w:p>
        </w:tc>
        <w:tc>
          <w:tcPr>
            <w:tcW w:w="1060" w:type="dxa"/>
            <w:vAlign w:val="bottom"/>
            <w:tcBorders>
              <w:bottom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380" w:type="dxa"/>
            <w:vAlign w:val="bottom"/>
            <w:vMerge w:val="continue"/>
          </w:tcPr>
          <w:p>
            <w:pPr>
              <w:spacing w:after="0"/>
              <w:rPr>
                <w:sz w:val="16"/>
                <w:szCs w:val="16"/>
                <w:color w:val="auto"/>
              </w:rPr>
            </w:pPr>
          </w:p>
        </w:tc>
        <w:tc>
          <w:tcPr>
            <w:tcW w:w="1060" w:type="dxa"/>
            <w:vAlign w:val="bottom"/>
            <w:tcBorders>
              <w:left w:val="single" w:sz="8" w:color="auto"/>
              <w:right w:val="single" w:sz="8" w:color="auto"/>
            </w:tcBorders>
            <w:vMerge w:val="restart"/>
          </w:tcPr>
          <w:p>
            <w:pPr>
              <w:jc w:val="right"/>
              <w:ind w:right="190"/>
              <w:spacing w:after="0"/>
              <w:rPr>
                <w:sz w:val="20"/>
                <w:szCs w:val="20"/>
                <w:color w:val="auto"/>
              </w:rPr>
            </w:pPr>
            <w:r>
              <w:rPr>
                <w:rFonts w:ascii="Arial" w:cs="Arial" w:eastAsia="Arial" w:hAnsi="Arial"/>
                <w:sz w:val="18"/>
                <w:szCs w:val="18"/>
                <w:b w:val="1"/>
                <w:bCs w:val="1"/>
                <w:color w:val="auto"/>
              </w:rPr>
              <w:t>Q4 2021</w:t>
            </w:r>
          </w:p>
        </w:tc>
        <w:tc>
          <w:tcPr>
            <w:tcW w:w="12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Q3 2021</w:t>
            </w:r>
          </w:p>
        </w:tc>
        <w:tc>
          <w:tcPr>
            <w:tcW w:w="11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Q2 2021</w:t>
            </w:r>
          </w:p>
        </w:tc>
        <w:tc>
          <w:tcPr>
            <w:tcW w:w="11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Q1 2021</w:t>
            </w:r>
          </w:p>
        </w:tc>
        <w:tc>
          <w:tcPr>
            <w:tcW w:w="11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Q4 2020</w:t>
            </w:r>
          </w:p>
        </w:tc>
        <w:tc>
          <w:tcPr>
            <w:tcW w:w="11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Q3 2020</w:t>
            </w:r>
          </w:p>
        </w:tc>
        <w:tc>
          <w:tcPr>
            <w:tcW w:w="11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Q2 2020</w:t>
            </w:r>
          </w:p>
        </w:tc>
        <w:tc>
          <w:tcPr>
            <w:tcW w:w="10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Q1 2020</w:t>
            </w:r>
          </w:p>
        </w:tc>
        <w:tc>
          <w:tcPr>
            <w:tcW w:w="0" w:type="dxa"/>
            <w:vAlign w:val="bottom"/>
          </w:tcPr>
          <w:p>
            <w:pPr>
              <w:spacing w:after="0"/>
              <w:rPr>
                <w:sz w:val="1"/>
                <w:szCs w:val="1"/>
                <w:color w:val="auto"/>
              </w:rPr>
            </w:pPr>
          </w:p>
        </w:tc>
      </w:tr>
      <w:tr>
        <w:trPr>
          <w:trHeight w:val="237"/>
        </w:trPr>
        <w:tc>
          <w:tcPr>
            <w:tcW w:w="23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where indicated)</w:t>
            </w:r>
          </w:p>
        </w:tc>
        <w:tc>
          <w:tcPr>
            <w:tcW w:w="106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60" w:type="dxa"/>
            <w:vAlign w:val="bottom"/>
            <w:tcBorders>
              <w:left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59,598</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44,774</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36,687</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28,432</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11,324</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6,795</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7,372</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9,212</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Net income (loss)</w:t>
            </w:r>
          </w:p>
        </w:tc>
        <w:tc>
          <w:tcPr>
            <w:tcW w:w="1060" w:type="dxa"/>
            <w:vAlign w:val="bottom"/>
            <w:tcBorders>
              <w:left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9,677</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23,733</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(3,675)</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(7,605)</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(5,374)</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(4,761)</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(3,730)</w:t>
            </w:r>
          </w:p>
        </w:tc>
        <w:tc>
          <w:tcPr>
            <w:tcW w:w="1020" w:type="dxa"/>
            <w:vAlign w:val="bottom"/>
          </w:tcPr>
          <w:p>
            <w:pPr>
              <w:jc w:val="right"/>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net earnings (loss) per</w:t>
            </w:r>
          </w:p>
        </w:tc>
        <w:tc>
          <w:tcPr>
            <w:tcW w:w="1060" w:type="dxa"/>
            <w:vAlign w:val="bottom"/>
            <w:tcBorders>
              <w:left w:val="single" w:sz="8" w:color="auto"/>
              <w:right w:val="single" w:sz="8" w:color="auto"/>
            </w:tcBorders>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3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share</w:t>
            </w:r>
          </w:p>
        </w:tc>
        <w:tc>
          <w:tcPr>
            <w:tcW w:w="1060" w:type="dxa"/>
            <w:vAlign w:val="bottom"/>
            <w:tcBorders>
              <w:left w:val="single" w:sz="8" w:color="auto"/>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0.05</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0.14</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(0.02)</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(0.06)</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(0.06)</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(0.06)</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(0.04)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hanging="332"/>
        <w:spacing w:after="0"/>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Bitcoin Halving Event occurred on May 11, 2020, during Q2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 $ in thousands except</w:t>
            </w:r>
          </w:p>
        </w:tc>
        <w:tc>
          <w:tcPr>
            <w:tcW w:w="1040" w:type="dxa"/>
            <w:vAlign w:val="bottom"/>
            <w:tcBorders>
              <w:top w:val="single" w:sz="8" w:color="auto"/>
              <w:right w:val="single" w:sz="8" w:color="auto"/>
            </w:tcBorders>
            <w:vMerge w:val="restart"/>
          </w:tcPr>
          <w:p>
            <w:pPr>
              <w:jc w:val="right"/>
              <w:ind w:right="190"/>
              <w:spacing w:after="0"/>
              <w:rPr>
                <w:sz w:val="20"/>
                <w:szCs w:val="20"/>
                <w:color w:val="auto"/>
              </w:rPr>
            </w:pPr>
            <w:r>
              <w:rPr>
                <w:rFonts w:ascii="Arial" w:cs="Arial" w:eastAsia="Arial" w:hAnsi="Arial"/>
                <w:sz w:val="18"/>
                <w:szCs w:val="18"/>
                <w:b w:val="1"/>
                <w:bCs w:val="1"/>
                <w:color w:val="auto"/>
              </w:rPr>
              <w:t>Q4 2021</w:t>
            </w:r>
          </w:p>
        </w:tc>
        <w:tc>
          <w:tcPr>
            <w:tcW w:w="12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Q3 2021</w:t>
            </w:r>
          </w:p>
        </w:tc>
        <w:tc>
          <w:tcPr>
            <w:tcW w:w="11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Q2 2021</w:t>
            </w:r>
          </w:p>
        </w:tc>
        <w:tc>
          <w:tcPr>
            <w:tcW w:w="11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Q1 2021</w:t>
            </w:r>
          </w:p>
        </w:tc>
        <w:tc>
          <w:tcPr>
            <w:tcW w:w="11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Q4 2020</w:t>
            </w:r>
          </w:p>
        </w:tc>
        <w:tc>
          <w:tcPr>
            <w:tcW w:w="11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Q3 2020</w:t>
            </w:r>
          </w:p>
        </w:tc>
        <w:tc>
          <w:tcPr>
            <w:tcW w:w="11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Q2 2020</w:t>
            </w:r>
          </w:p>
        </w:tc>
        <w:tc>
          <w:tcPr>
            <w:tcW w:w="10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Q1 2020</w:t>
            </w:r>
          </w:p>
        </w:tc>
        <w:tc>
          <w:tcPr>
            <w:tcW w:w="0" w:type="dxa"/>
            <w:vAlign w:val="bottom"/>
          </w:tcPr>
          <w:p>
            <w:pPr>
              <w:spacing w:after="0"/>
              <w:rPr>
                <w:sz w:val="1"/>
                <w:szCs w:val="1"/>
                <w:color w:val="auto"/>
              </w:rPr>
            </w:pPr>
          </w:p>
        </w:tc>
      </w:tr>
      <w:tr>
        <w:trPr>
          <w:trHeight w:val="237"/>
        </w:trPr>
        <w:tc>
          <w:tcPr>
            <w:tcW w:w="24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where indicated)</w:t>
            </w:r>
          </w:p>
        </w:tc>
        <w:tc>
          <w:tcPr>
            <w:tcW w:w="1040" w:type="dxa"/>
            <w:vAlign w:val="bottom"/>
            <w:tcBorders>
              <w:bottom w:val="single" w:sz="8" w:color="auto"/>
              <w:right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0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Net income (loss) before</w:t>
            </w:r>
          </w:p>
        </w:tc>
        <w:tc>
          <w:tcPr>
            <w:tcW w:w="1040" w:type="dxa"/>
            <w:vAlign w:val="bottom"/>
            <w:tcBorders>
              <w:right w:val="single" w:sz="8" w:color="auto"/>
            </w:tcBorders>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4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0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17,937</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34,706</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(3,071)</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(6,935)</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(5,090)</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(4,761)</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(3,734)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16"/>
        </w:trPr>
        <w:tc>
          <w:tcPr>
            <w:tcW w:w="24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10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837</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788</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897</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898</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1,756</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1,563</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1,400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02"/>
        </w:trPr>
        <w:tc>
          <w:tcPr>
            <w:tcW w:w="240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8"/>
              </w:rPr>
              <w:t>Depreciation and amortization</w:t>
            </w:r>
          </w:p>
        </w:tc>
        <w:tc>
          <w:tcPr>
            <w:tcW w:w="1040" w:type="dxa"/>
            <w:vAlign w:val="bottom"/>
            <w:tcBorders>
              <w:right w:val="single" w:sz="8" w:color="auto"/>
            </w:tcBorders>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4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10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10,287</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6,261</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4,920</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3,008</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2,834</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2,924</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2,750</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2,978</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EBITDA</w:t>
            </w: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29,061</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41,755</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2,746</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(3,029)</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(500)</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(274)</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416</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16"/>
        </w:trPr>
        <w:tc>
          <w:tcPr>
            <w:tcW w:w="24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104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10,036</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5,787</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6,342</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420</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403</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534</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254</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02"/>
        </w:trPr>
        <w:tc>
          <w:tcPr>
            <w:tcW w:w="24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Loss (gain) on revaluation of</w:t>
            </w:r>
          </w:p>
        </w:tc>
        <w:tc>
          <w:tcPr>
            <w:tcW w:w="104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digital assets</w:t>
            </w:r>
          </w:p>
        </w:tc>
        <w:tc>
          <w:tcPr>
            <w:tcW w:w="10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3,869</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(13,893)</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14,885</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40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Impairment on property, plant</w:t>
            </w:r>
          </w:p>
        </w:tc>
        <w:tc>
          <w:tcPr>
            <w:tcW w:w="1040" w:type="dxa"/>
            <w:vAlign w:val="bottom"/>
            <w:tcBorders>
              <w:right w:val="single" w:sz="8" w:color="auto"/>
            </w:tcBorders>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and equipment</w:t>
            </w:r>
          </w:p>
        </w:tc>
        <w:tc>
          <w:tcPr>
            <w:tcW w:w="104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1,800</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4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Impairment reversal on</w:t>
            </w:r>
          </w:p>
        </w:tc>
        <w:tc>
          <w:tcPr>
            <w:tcW w:w="104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property, plant and</w:t>
            </w:r>
          </w:p>
        </w:tc>
        <w:tc>
          <w:tcPr>
            <w:tcW w:w="10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equipment</w:t>
            </w:r>
          </w:p>
        </w:tc>
        <w:tc>
          <w:tcPr>
            <w:tcW w:w="10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(1,860)</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40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Net financial expenses</w:t>
            </w:r>
          </w:p>
        </w:tc>
        <w:tc>
          <w:tcPr>
            <w:tcW w:w="1040" w:type="dxa"/>
            <w:vAlign w:val="bottom"/>
            <w:tcBorders>
              <w:right w:val="single" w:sz="8" w:color="auto"/>
            </w:tcBorders>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4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(income) and other</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70</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(146)</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22,310</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3,653</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105</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765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Adjusted EBITDA</w:t>
            </w: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44,013</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31,859</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23,827</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19,701</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3,556</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365</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1,435</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the Bitcoin mining industry experiences volatility, it is not typically subject to seasonality. Seasonal fluctuations in electricity supply however, may impact the Company’s operations. The majority of the Company’s operations during the above periods were in Quebec, where power was sourced directly from Hydro-Quebec, Hydro-Magog and Hydro-Sherbrooke. The Company also had operations in Washington State which were powered by the Grant County Power Utility District. Among other phenomenon, changing weather in Quebec, Washington State or other jurisdictions where the Company intends to operate may impact seasonal electricity needs, and periods of extreme cold or extreme hot weather may thus contribute to service interruptions in cryptocurrency mining operations.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Q4 2021 details, refer to the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section, Cash Flows included in the Liquidity and Capital Resources section and </w:t>
      </w:r>
      <w:r>
        <w:rPr>
          <w:rFonts w:ascii="Arial" w:cs="Arial" w:eastAsia="Arial" w:hAnsi="Arial"/>
          <w:sz w:val="18"/>
          <w:szCs w:val="18"/>
          <w:i w:val="1"/>
          <w:iCs w:val="1"/>
          <w:color w:val="auto"/>
        </w:rPr>
        <w:t>Washington Expansion</w:t>
      </w:r>
      <w:r>
        <w:rPr>
          <w:rFonts w:ascii="Arial" w:cs="Arial" w:eastAsia="Arial" w:hAnsi="Arial"/>
          <w:sz w:val="18"/>
          <w:szCs w:val="18"/>
          <w:color w:val="auto"/>
        </w:rPr>
        <w:t xml:space="preserve"> included in the Capital Resources section of the MD&amp;A.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Non-IFRS measures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utilizes a number of non-IFRS measures in assessing operating performance. Non-IFRS financial performance measures exclude the impact of certain items and are used internally when analyzing operating performance. Please refer to the “Caution Regarding Non-IFRS Financial Performance Measures” section of this MD&amp;A for more information.</w:t>
      </w:r>
    </w:p>
    <w:p>
      <w:pPr>
        <w:spacing w:after="0" w:line="400"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-119380</wp:posOffset>
            </wp:positionV>
            <wp:extent cx="1543050" cy="4286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gridSpan w:val="9"/>
          </w:tcPr>
          <w:p>
            <w:pPr>
              <w:spacing w:after="0"/>
              <w:rPr>
                <w:sz w:val="20"/>
                <w:szCs w:val="20"/>
                <w:color w:val="auto"/>
              </w:rPr>
            </w:pPr>
            <w:r>
              <w:rPr>
                <w:rFonts w:ascii="Arial" w:cs="Arial" w:eastAsia="Arial" w:hAnsi="Arial"/>
                <w:sz w:val="18"/>
                <w:szCs w:val="18"/>
                <w:color w:val="auto"/>
              </w:rPr>
              <w:t>Reconciliation of Consolidated Net Income (loss) to EBITDA and Adjusted EBITDA</w:t>
            </w:r>
          </w:p>
        </w:tc>
        <w:tc>
          <w:tcPr>
            <w:tcW w:w="10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(U.S.$ in thousands except</w:t>
            </w:r>
          </w:p>
        </w:tc>
        <w:tc>
          <w:tcPr>
            <w:tcW w:w="2140" w:type="dxa"/>
            <w:vAlign w:val="bottom"/>
            <w:gridSpan w:val="5"/>
            <w:vMerge w:val="restart"/>
          </w:tcPr>
          <w:p>
            <w:pPr>
              <w:jc w:val="right"/>
              <w:ind w:right="400"/>
              <w:spacing w:after="0"/>
              <w:rPr>
                <w:sz w:val="20"/>
                <w:szCs w:val="20"/>
                <w:color w:val="auto"/>
              </w:rPr>
            </w:pPr>
            <w:r>
              <w:rPr>
                <w:rFonts w:ascii="Arial" w:cs="Arial" w:eastAsia="Arial" w:hAnsi="Arial"/>
                <w:sz w:val="18"/>
                <w:szCs w:val="18"/>
                <w:b w:val="1"/>
                <w:bCs w:val="1"/>
                <w:color w:val="auto"/>
                <w:w w:val="97"/>
              </w:rPr>
              <w:t>Three months ended</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20" w:type="dxa"/>
            <w:vAlign w:val="bottom"/>
            <w:gridSpan w:val="4"/>
            <w:vMerge w:val="restart"/>
          </w:tcPr>
          <w:p>
            <w:pPr>
              <w:jc w:val="right"/>
              <w:ind w:right="400"/>
              <w:spacing w:after="0"/>
              <w:rPr>
                <w:sz w:val="20"/>
                <w:szCs w:val="20"/>
                <w:color w:val="auto"/>
              </w:rPr>
            </w:pPr>
            <w:r>
              <w:rPr>
                <w:rFonts w:ascii="Arial" w:cs="Arial" w:eastAsia="Arial" w:hAnsi="Arial"/>
                <w:sz w:val="18"/>
                <w:szCs w:val="18"/>
                <w:b w:val="1"/>
                <w:bCs w:val="1"/>
                <w:color w:val="auto"/>
                <w:w w:val="95"/>
              </w:rPr>
              <w:t>Twelve months ended</w:t>
            </w: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340" w:type="dxa"/>
            <w:vAlign w:val="bottom"/>
            <w:gridSpan w:val="2"/>
          </w:tcPr>
          <w:p>
            <w:pPr>
              <w:spacing w:after="0"/>
              <w:rPr>
                <w:sz w:val="20"/>
                <w:szCs w:val="20"/>
                <w:color w:val="auto"/>
              </w:rPr>
            </w:pPr>
            <w:r>
              <w:rPr>
                <w:rFonts w:ascii="Arial" w:cs="Arial" w:eastAsia="Arial" w:hAnsi="Arial"/>
                <w:sz w:val="18"/>
                <w:szCs w:val="18"/>
                <w:color w:val="auto"/>
              </w:rPr>
              <w:t>where indicated)</w:t>
            </w:r>
          </w:p>
        </w:tc>
        <w:tc>
          <w:tcPr>
            <w:tcW w:w="2140" w:type="dxa"/>
            <w:vAlign w:val="bottom"/>
            <w:gridSpan w:val="5"/>
            <w:vMerge w:val="continue"/>
          </w:tcPr>
          <w:p>
            <w:pPr>
              <w:spacing w:after="0"/>
              <w:rPr>
                <w:sz w:val="21"/>
                <w:szCs w:val="21"/>
                <w:color w:val="auto"/>
              </w:rPr>
            </w:pPr>
          </w:p>
        </w:tc>
        <w:tc>
          <w:tcPr>
            <w:tcW w:w="10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20" w:type="dxa"/>
            <w:vAlign w:val="bottom"/>
            <w:gridSpan w:val="4"/>
            <w:vMerge w:val="continue"/>
          </w:tcPr>
          <w:p>
            <w:pPr>
              <w:spacing w:after="0"/>
              <w:rPr>
                <w:sz w:val="21"/>
                <w:szCs w:val="21"/>
                <w:color w:val="auto"/>
              </w:rPr>
            </w:pPr>
          </w:p>
        </w:tc>
        <w:tc>
          <w:tcPr>
            <w:tcW w:w="1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340" w:type="dxa"/>
            <w:vAlign w:val="bottom"/>
            <w:tcBorders>
              <w:right w:val="single" w:sz="8" w:color="auto"/>
            </w:tcBorders>
            <w:gridSpan w:val="2"/>
          </w:tcPr>
          <w:p>
            <w:pPr>
              <w:spacing w:after="0" w:line="198" w:lineRule="exact"/>
              <w:rPr>
                <w:sz w:val="20"/>
                <w:szCs w:val="20"/>
                <w:color w:val="auto"/>
              </w:rPr>
            </w:pPr>
            <w:r>
              <w:rPr>
                <w:rFonts w:ascii="Arial" w:cs="Arial" w:eastAsia="Arial" w:hAnsi="Arial"/>
                <w:sz w:val="18"/>
                <w:szCs w:val="18"/>
                <w:color w:val="auto"/>
              </w:rPr>
              <w:t>For the periods ended as</w:t>
            </w:r>
          </w:p>
        </w:tc>
        <w:tc>
          <w:tcPr>
            <w:tcW w:w="1000" w:type="dxa"/>
            <w:vAlign w:val="bottom"/>
            <w:tcBorders>
              <w:top w:val="single" w:sz="8" w:color="auto"/>
              <w:right w:val="single" w:sz="8" w:color="auto"/>
            </w:tcBorders>
          </w:tcPr>
          <w:p>
            <w:pPr>
              <w:jc w:val="right"/>
              <w:ind w:right="230"/>
              <w:spacing w:after="0" w:line="198" w:lineRule="exact"/>
              <w:rPr>
                <w:sz w:val="20"/>
                <w:szCs w:val="20"/>
                <w:color w:val="auto"/>
              </w:rPr>
            </w:pPr>
            <w:r>
              <w:rPr>
                <w:rFonts w:ascii="Arial" w:cs="Arial" w:eastAsia="Arial" w:hAnsi="Arial"/>
                <w:sz w:val="18"/>
                <w:szCs w:val="18"/>
                <w:b w:val="1"/>
                <w:bCs w:val="1"/>
                <w:color w:val="auto"/>
              </w:rPr>
              <w:t>Dec. 31</w:t>
            </w:r>
          </w:p>
        </w:tc>
        <w:tc>
          <w:tcPr>
            <w:tcW w:w="940" w:type="dxa"/>
            <w:vAlign w:val="bottom"/>
            <w:tcBorders>
              <w:top w:val="single" w:sz="8" w:color="auto"/>
            </w:tcBorders>
            <w:gridSpan w:val="2"/>
          </w:tcPr>
          <w:p>
            <w:pPr>
              <w:jc w:val="right"/>
              <w:ind w:right="180"/>
              <w:spacing w:after="0" w:line="198" w:lineRule="exact"/>
              <w:rPr>
                <w:sz w:val="20"/>
                <w:szCs w:val="20"/>
                <w:color w:val="auto"/>
              </w:rPr>
            </w:pPr>
            <w:r>
              <w:rPr>
                <w:rFonts w:ascii="Arial" w:cs="Arial" w:eastAsia="Arial" w:hAnsi="Arial"/>
                <w:sz w:val="18"/>
                <w:szCs w:val="18"/>
                <w:b w:val="1"/>
                <w:bCs w:val="1"/>
                <w:color w:val="auto"/>
              </w:rPr>
              <w:t>Dec. 31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60" w:type="dxa"/>
            <w:vAlign w:val="bottom"/>
            <w:tcBorders>
              <w:right w:val="single" w:sz="8" w:color="auto"/>
            </w:tcBorders>
          </w:tcPr>
          <w:p>
            <w:pPr>
              <w:jc w:val="right"/>
              <w:ind w:right="590"/>
              <w:spacing w:after="0" w:line="198" w:lineRule="exact"/>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right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88"/>
              </w:rPr>
              <w:t>Dec. 31</w:t>
            </w:r>
          </w:p>
        </w:tc>
        <w:tc>
          <w:tcPr>
            <w:tcW w:w="94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rPr>
              <w:t>Dec. 31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jc w:val="center"/>
              <w:ind w:right="110"/>
              <w:spacing w:after="0" w:line="198"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1"/>
        </w:trPr>
        <w:tc>
          <w:tcPr>
            <w:tcW w:w="2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indicated</w:t>
            </w:r>
          </w:p>
        </w:tc>
        <w:tc>
          <w:tcPr>
            <w:tcW w:w="100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 Change</w:t>
            </w:r>
          </w:p>
        </w:tc>
        <w:tc>
          <w:tcPr>
            <w:tcW w:w="1260" w:type="dxa"/>
            <w:vAlign w:val="bottom"/>
            <w:tcBorders>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104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 Change</w:t>
            </w:r>
          </w:p>
        </w:tc>
        <w:tc>
          <w:tcPr>
            <w:tcW w:w="11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02"/>
        </w:trPr>
        <w:tc>
          <w:tcPr>
            <w:tcW w:w="2340" w:type="dxa"/>
            <w:vAlign w:val="bottom"/>
            <w:tcBorders>
              <w:right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income (loss) before</w:t>
            </w:r>
          </w:p>
        </w:tc>
        <w:tc>
          <w:tcPr>
            <w:tcW w:w="1000" w:type="dxa"/>
            <w:vAlign w:val="bottom"/>
            <w:tcBorders>
              <w:right w:val="single" w:sz="8" w:color="auto"/>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60" w:type="dxa"/>
            <w:vAlign w:val="bottom"/>
            <w:tcBorders>
              <w:right w:val="single" w:sz="8" w:color="auto"/>
            </w:tcBorders>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340" w:type="dxa"/>
            <w:vAlign w:val="bottom"/>
            <w:tcBorders>
              <w:bottom w:val="single" w:sz="8" w:color="auto"/>
              <w:right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000" w:type="dxa"/>
            <w:vAlign w:val="bottom"/>
            <w:tcBorders>
              <w:bottom w:val="single" w:sz="8" w:color="auto"/>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17,937</w:t>
            </w:r>
          </w:p>
        </w:tc>
        <w:tc>
          <w:tcPr>
            <w:tcW w:w="1140" w:type="dxa"/>
            <w:vAlign w:val="bottom"/>
            <w:tcBorders>
              <w:bottom w:val="single" w:sz="8" w:color="auto"/>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(5,090)</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23,027</w:t>
            </w:r>
          </w:p>
        </w:tc>
        <w:tc>
          <w:tcPr>
            <w:tcW w:w="1260" w:type="dxa"/>
            <w:vAlign w:val="bottom"/>
            <w:tcBorders>
              <w:bottom w:val="single" w:sz="8" w:color="auto"/>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452%</w:t>
            </w:r>
          </w:p>
        </w:tc>
        <w:tc>
          <w:tcPr>
            <w:tcW w:w="104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42,637</w:t>
            </w:r>
          </w:p>
        </w:tc>
        <w:tc>
          <w:tcPr>
            <w:tcW w:w="118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(16,117)</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58,754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Interest expense</w:t>
            </w:r>
          </w:p>
        </w:tc>
        <w:tc>
          <w:tcPr>
            <w:tcW w:w="10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837</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1,756</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(919)</w:t>
            </w:r>
          </w:p>
        </w:tc>
        <w:tc>
          <w:tcPr>
            <w:tcW w:w="1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(52%)</w:t>
            </w:r>
          </w:p>
        </w:tc>
        <w:tc>
          <w:tcPr>
            <w:tcW w:w="10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3,420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6,104</w:t>
            </w:r>
          </w:p>
        </w:tc>
        <w:tc>
          <w:tcPr>
            <w:tcW w:w="2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(2,684)</w:t>
            </w: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2340" w:type="dxa"/>
            <w:vAlign w:val="bottom"/>
            <w:tcBorders>
              <w:right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Depreciation and</w:t>
            </w:r>
          </w:p>
        </w:tc>
        <w:tc>
          <w:tcPr>
            <w:tcW w:w="1000" w:type="dxa"/>
            <w:vAlign w:val="bottom"/>
            <w:tcBorders>
              <w:right w:val="single" w:sz="8" w:color="auto"/>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60" w:type="dxa"/>
            <w:vAlign w:val="bottom"/>
            <w:tcBorders>
              <w:right w:val="single" w:sz="8" w:color="auto"/>
            </w:tcBorders>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340" w:type="dxa"/>
            <w:vAlign w:val="bottom"/>
            <w:tcBorders>
              <w:bottom w:val="single" w:sz="8" w:color="auto"/>
              <w:right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 expense</w:t>
            </w:r>
          </w:p>
        </w:tc>
        <w:tc>
          <w:tcPr>
            <w:tcW w:w="1000" w:type="dxa"/>
            <w:vAlign w:val="bottom"/>
            <w:tcBorders>
              <w:bottom w:val="single" w:sz="8" w:color="auto"/>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10,287</w:t>
            </w:r>
          </w:p>
        </w:tc>
        <w:tc>
          <w:tcPr>
            <w:tcW w:w="9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2,834</w:t>
            </w: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7,453</w:t>
            </w:r>
          </w:p>
        </w:tc>
        <w:tc>
          <w:tcPr>
            <w:tcW w:w="1260" w:type="dxa"/>
            <w:vAlign w:val="bottom"/>
            <w:tcBorders>
              <w:bottom w:val="single" w:sz="8" w:color="auto"/>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263%</w:t>
            </w:r>
          </w:p>
        </w:tc>
        <w:tc>
          <w:tcPr>
            <w:tcW w:w="104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24,476</w:t>
            </w: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11,486</w:t>
            </w: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12,990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50"/>
        </w:trPr>
        <w:tc>
          <w:tcPr>
            <w:tcW w:w="2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EBITDA</w:t>
            </w:r>
          </w:p>
        </w:tc>
        <w:tc>
          <w:tcPr>
            <w:tcW w:w="100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29,061</w:t>
            </w:r>
          </w:p>
        </w:tc>
        <w:tc>
          <w:tcPr>
            <w:tcW w:w="11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(500)</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29,561</w:t>
            </w:r>
          </w:p>
        </w:tc>
        <w:tc>
          <w:tcPr>
            <w:tcW w:w="126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i w:val="1"/>
                <w:iCs w:val="1"/>
                <w:color w:val="auto"/>
              </w:rPr>
              <w:t>nm</w:t>
            </w:r>
          </w:p>
        </w:tc>
        <w:tc>
          <w:tcPr>
            <w:tcW w:w="10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70,533</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1,473</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69,060</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100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10,036</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403</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9,633</w:t>
            </w:r>
          </w:p>
        </w:tc>
        <w:tc>
          <w:tcPr>
            <w:tcW w:w="1260" w:type="dxa"/>
            <w:vAlign w:val="bottom"/>
            <w:tcBorders>
              <w:right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nm</w:t>
            </w:r>
          </w:p>
        </w:tc>
        <w:tc>
          <w:tcPr>
            <w:tcW w:w="104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22,585</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2,201</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20,384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02"/>
        </w:trPr>
        <w:tc>
          <w:tcPr>
            <w:tcW w:w="234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rPr>
              <w:t>Loss on revaluation of digital</w:t>
            </w:r>
          </w:p>
        </w:tc>
        <w:tc>
          <w:tcPr>
            <w:tcW w:w="100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rPr>
              <w:t>3,869</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rPr>
              <w:t>4,861</w:t>
            </w: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assets</w:t>
            </w:r>
          </w:p>
        </w:tc>
        <w:tc>
          <w:tcPr>
            <w:tcW w:w="1000" w:type="dxa"/>
            <w:vAlign w:val="bottom"/>
            <w:tcBorders>
              <w:right w:val="single" w:sz="8" w:color="auto"/>
            </w:tcBorders>
            <w:vMerge w:val="continue"/>
          </w:tcPr>
          <w:p>
            <w:pPr>
              <w:spacing w:after="0"/>
              <w:rPr>
                <w:sz w:val="20"/>
                <w:szCs w:val="20"/>
                <w:color w:val="auto"/>
              </w:rPr>
            </w:pPr>
          </w:p>
        </w:tc>
        <w:tc>
          <w:tcPr>
            <w:tcW w:w="11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3,869</w:t>
            </w:r>
          </w:p>
        </w:tc>
        <w:tc>
          <w:tcPr>
            <w:tcW w:w="126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100%</w:t>
            </w:r>
          </w:p>
        </w:tc>
        <w:tc>
          <w:tcPr>
            <w:tcW w:w="1040" w:type="dxa"/>
            <w:vAlign w:val="bottom"/>
            <w:tcBorders>
              <w:right w:val="single" w:sz="8" w:color="auto"/>
            </w:tcBorders>
            <w:vMerge w:val="continue"/>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4,861</w:t>
            </w: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340" w:type="dxa"/>
            <w:vAlign w:val="bottom"/>
            <w:tcBorders>
              <w:right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Impairment on property, plant</w:t>
            </w:r>
          </w:p>
        </w:tc>
        <w:tc>
          <w:tcPr>
            <w:tcW w:w="1000" w:type="dxa"/>
            <w:vAlign w:val="bottom"/>
            <w:tcBorders>
              <w:right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1,800</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60" w:type="dxa"/>
            <w:vAlign w:val="bottom"/>
            <w:tcBorders>
              <w:right w:val="single" w:sz="8" w:color="auto"/>
            </w:tcBorders>
            <w:shd w:val="clear" w:color="auto" w:fill="CCEEFF"/>
          </w:tcPr>
          <w:p>
            <w:pPr>
              <w:spacing w:after="0"/>
              <w:rPr>
                <w:sz w:val="17"/>
                <w:szCs w:val="17"/>
                <w:color w:val="auto"/>
              </w:rPr>
            </w:pPr>
          </w:p>
        </w:tc>
        <w:tc>
          <w:tcPr>
            <w:tcW w:w="1040" w:type="dxa"/>
            <w:vAlign w:val="bottom"/>
            <w:tcBorders>
              <w:right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1,800</w:t>
            </w: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tcBorders>
              <w:right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and equipment</w:t>
            </w:r>
          </w:p>
        </w:tc>
        <w:tc>
          <w:tcPr>
            <w:tcW w:w="1000" w:type="dxa"/>
            <w:vAlign w:val="bottom"/>
            <w:tcBorders>
              <w:right w:val="single" w:sz="8" w:color="auto"/>
            </w:tcBorders>
            <w:vMerge w:val="continue"/>
            <w:shd w:val="clear" w:color="auto" w:fill="CCEEFF"/>
          </w:tcPr>
          <w:p>
            <w:pPr>
              <w:spacing w:after="0"/>
              <w:rPr>
                <w:sz w:val="20"/>
                <w:szCs w:val="20"/>
                <w:color w:val="auto"/>
              </w:rPr>
            </w:pPr>
          </w:p>
        </w:tc>
        <w:tc>
          <w:tcPr>
            <w:tcW w:w="11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1,800</w:t>
            </w:r>
          </w:p>
        </w:tc>
        <w:tc>
          <w:tcPr>
            <w:tcW w:w="126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040" w:type="dxa"/>
            <w:vAlign w:val="bottom"/>
            <w:tcBorders>
              <w:right w:val="single" w:sz="8" w:color="auto"/>
            </w:tcBorders>
            <w:vMerge w:val="continue"/>
            <w:shd w:val="clear" w:color="auto" w:fill="CCEEFF"/>
          </w:tcPr>
          <w:p>
            <w:pPr>
              <w:spacing w:after="0"/>
              <w:rPr>
                <w:sz w:val="20"/>
                <w:szCs w:val="20"/>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34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rPr>
              <w:t>Impairment reversal on</w:t>
            </w:r>
          </w:p>
        </w:tc>
        <w:tc>
          <w:tcPr>
            <w:tcW w:w="100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property, plant and</w:t>
            </w:r>
          </w:p>
        </w:tc>
        <w:tc>
          <w:tcPr>
            <w:tcW w:w="100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(1,860)</w:t>
            </w: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equipment</w:t>
            </w:r>
          </w:p>
        </w:tc>
        <w:tc>
          <w:tcPr>
            <w:tcW w:w="1000" w:type="dxa"/>
            <w:vAlign w:val="bottom"/>
            <w:tcBorders>
              <w:right w:val="single" w:sz="8" w:color="auto"/>
            </w:tcBorders>
            <w:vMerge w:val="continue"/>
          </w:tcPr>
          <w:p>
            <w:pPr>
              <w:spacing w:after="0"/>
              <w:rPr>
                <w:sz w:val="20"/>
                <w:szCs w:val="20"/>
                <w:color w:val="auto"/>
              </w:rPr>
            </w:pPr>
          </w:p>
        </w:tc>
        <w:tc>
          <w:tcPr>
            <w:tcW w:w="11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vMerge w:val="continue"/>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(1,860)</w:t>
            </w: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340" w:type="dxa"/>
            <w:vAlign w:val="bottom"/>
            <w:tcBorders>
              <w:right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financial expenses</w:t>
            </w:r>
          </w:p>
        </w:tc>
        <w:tc>
          <w:tcPr>
            <w:tcW w:w="100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(753)</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60" w:type="dxa"/>
            <w:vAlign w:val="bottom"/>
            <w:tcBorders>
              <w:right w:val="single" w:sz="8" w:color="auto"/>
            </w:tcBorders>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340" w:type="dxa"/>
            <w:vAlign w:val="bottom"/>
            <w:tcBorders>
              <w:bottom w:val="single" w:sz="8" w:color="auto"/>
              <w:right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and other</w:t>
            </w:r>
          </w:p>
        </w:tc>
        <w:tc>
          <w:tcPr>
            <w:tcW w:w="1000" w:type="dxa"/>
            <w:vAlign w:val="bottom"/>
            <w:tcBorders>
              <w:bottom w:val="single" w:sz="8" w:color="auto"/>
              <w:right w:val="single" w:sz="8" w:color="auto"/>
            </w:tcBorders>
            <w:vMerge w:val="continue"/>
            <w:shd w:val="clear" w:color="auto" w:fill="CCEEFF"/>
          </w:tcPr>
          <w:p>
            <w:pPr>
              <w:spacing w:after="0"/>
              <w:rPr>
                <w:sz w:val="22"/>
                <w:szCs w:val="22"/>
                <w:color w:val="auto"/>
              </w:rPr>
            </w:pPr>
          </w:p>
        </w:tc>
        <w:tc>
          <w:tcPr>
            <w:tcW w:w="9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3,653</w:t>
            </w: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(4,406)</w:t>
            </w: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104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21,481</w:t>
            </w: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4,345</w:t>
            </w: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17,136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394%</w:t>
            </w:r>
          </w:p>
        </w:tc>
        <w:tc>
          <w:tcPr>
            <w:tcW w:w="0" w:type="dxa"/>
            <w:vAlign w:val="bottom"/>
          </w:tcPr>
          <w:p>
            <w:pPr>
              <w:spacing w:after="0"/>
              <w:rPr>
                <w:sz w:val="1"/>
                <w:szCs w:val="1"/>
                <w:color w:val="auto"/>
              </w:rPr>
            </w:pPr>
          </w:p>
        </w:tc>
      </w:tr>
      <w:tr>
        <w:trPr>
          <w:trHeight w:val="250"/>
        </w:trPr>
        <w:tc>
          <w:tcPr>
            <w:tcW w:w="2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Adjusted EBITDA</w:t>
            </w:r>
          </w:p>
        </w:tc>
        <w:tc>
          <w:tcPr>
            <w:tcW w:w="100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44,013</w:t>
            </w:r>
          </w:p>
        </w:tc>
        <w:tc>
          <w:tcPr>
            <w:tcW w:w="9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3,556</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40,457</w:t>
            </w:r>
          </w:p>
        </w:tc>
        <w:tc>
          <w:tcPr>
            <w:tcW w:w="126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i w:val="1"/>
                <w:iCs w:val="1"/>
                <w:color w:val="auto"/>
              </w:rPr>
              <w:t>nm</w:t>
            </w:r>
          </w:p>
        </w:tc>
        <w:tc>
          <w:tcPr>
            <w:tcW w:w="10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119,400</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8,019</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111,381</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432"/>
        </w:trPr>
        <w:tc>
          <w:tcPr>
            <w:tcW w:w="4480" w:type="dxa"/>
            <w:vAlign w:val="bottom"/>
            <w:gridSpan w:val="7"/>
          </w:tcPr>
          <w:p>
            <w:pPr>
              <w:spacing w:after="0"/>
              <w:rPr>
                <w:sz w:val="20"/>
                <w:szCs w:val="20"/>
                <w:color w:val="auto"/>
              </w:rPr>
            </w:pPr>
            <w:r>
              <w:rPr>
                <w:rFonts w:ascii="Arial" w:cs="Arial" w:eastAsia="Arial" w:hAnsi="Arial"/>
                <w:sz w:val="18"/>
                <w:szCs w:val="18"/>
                <w:color w:val="auto"/>
                <w:w w:val="97"/>
              </w:rPr>
              <w:t>Calculation of Gross Mining Profit &amp; Gross Mining Margin</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(U.S.$ in thousands except</w:t>
            </w:r>
          </w:p>
        </w:tc>
        <w:tc>
          <w:tcPr>
            <w:tcW w:w="2140" w:type="dxa"/>
            <w:vAlign w:val="bottom"/>
            <w:gridSpan w:val="5"/>
            <w:vMerge w:val="restart"/>
          </w:tcPr>
          <w:p>
            <w:pPr>
              <w:jc w:val="right"/>
              <w:ind w:right="480"/>
              <w:spacing w:after="0"/>
              <w:rPr>
                <w:sz w:val="20"/>
                <w:szCs w:val="20"/>
                <w:color w:val="auto"/>
              </w:rPr>
            </w:pPr>
            <w:r>
              <w:rPr>
                <w:rFonts w:ascii="Arial" w:cs="Arial" w:eastAsia="Arial" w:hAnsi="Arial"/>
                <w:sz w:val="18"/>
                <w:szCs w:val="18"/>
                <w:b w:val="1"/>
                <w:bCs w:val="1"/>
                <w:color w:val="auto"/>
                <w:w w:val="92"/>
              </w:rPr>
              <w:t>Three months ended</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20" w:type="dxa"/>
            <w:vAlign w:val="bottom"/>
            <w:gridSpan w:val="4"/>
            <w:vMerge w:val="restart"/>
          </w:tcPr>
          <w:p>
            <w:pPr>
              <w:jc w:val="right"/>
              <w:ind w:right="400"/>
              <w:spacing w:after="0"/>
              <w:rPr>
                <w:sz w:val="20"/>
                <w:szCs w:val="20"/>
                <w:color w:val="auto"/>
              </w:rPr>
            </w:pPr>
            <w:r>
              <w:rPr>
                <w:rFonts w:ascii="Arial" w:cs="Arial" w:eastAsia="Arial" w:hAnsi="Arial"/>
                <w:sz w:val="18"/>
                <w:szCs w:val="18"/>
                <w:b w:val="1"/>
                <w:bCs w:val="1"/>
                <w:color w:val="auto"/>
                <w:w w:val="95"/>
              </w:rPr>
              <w:t>Twelve months ended</w:t>
            </w: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340" w:type="dxa"/>
            <w:vAlign w:val="bottom"/>
            <w:gridSpan w:val="2"/>
          </w:tcPr>
          <w:p>
            <w:pPr>
              <w:spacing w:after="0"/>
              <w:rPr>
                <w:sz w:val="20"/>
                <w:szCs w:val="20"/>
                <w:color w:val="auto"/>
              </w:rPr>
            </w:pPr>
            <w:r>
              <w:rPr>
                <w:rFonts w:ascii="Arial" w:cs="Arial" w:eastAsia="Arial" w:hAnsi="Arial"/>
                <w:sz w:val="18"/>
                <w:szCs w:val="18"/>
                <w:color w:val="auto"/>
              </w:rPr>
              <w:t>where indicated)</w:t>
            </w:r>
          </w:p>
        </w:tc>
        <w:tc>
          <w:tcPr>
            <w:tcW w:w="2140" w:type="dxa"/>
            <w:vAlign w:val="bottom"/>
            <w:gridSpan w:val="5"/>
            <w:vMerge w:val="continue"/>
          </w:tcPr>
          <w:p>
            <w:pPr>
              <w:spacing w:after="0"/>
              <w:rPr>
                <w:sz w:val="21"/>
                <w:szCs w:val="21"/>
                <w:color w:val="auto"/>
              </w:rPr>
            </w:pPr>
          </w:p>
        </w:tc>
        <w:tc>
          <w:tcPr>
            <w:tcW w:w="10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20" w:type="dxa"/>
            <w:vAlign w:val="bottom"/>
            <w:gridSpan w:val="4"/>
            <w:vMerge w:val="continue"/>
          </w:tcPr>
          <w:p>
            <w:pPr>
              <w:spacing w:after="0"/>
              <w:rPr>
                <w:sz w:val="21"/>
                <w:szCs w:val="21"/>
                <w:color w:val="auto"/>
              </w:rPr>
            </w:pPr>
          </w:p>
        </w:tc>
        <w:tc>
          <w:tcPr>
            <w:tcW w:w="1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200" w:type="dxa"/>
            <w:vAlign w:val="bottom"/>
            <w:tcBorders>
              <w:right w:val="single" w:sz="8" w:color="auto"/>
            </w:tcBorders>
          </w:tcPr>
          <w:p>
            <w:pPr>
              <w:spacing w:after="0" w:line="198" w:lineRule="exact"/>
              <w:rPr>
                <w:sz w:val="20"/>
                <w:szCs w:val="20"/>
                <w:color w:val="auto"/>
              </w:rPr>
            </w:pPr>
            <w:r>
              <w:rPr>
                <w:rFonts w:ascii="Arial" w:cs="Arial" w:eastAsia="Arial" w:hAnsi="Arial"/>
                <w:sz w:val="18"/>
                <w:szCs w:val="18"/>
                <w:color w:val="auto"/>
              </w:rPr>
              <w:t>For the periods ended as</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jc w:val="right"/>
              <w:ind w:right="330"/>
              <w:spacing w:after="0" w:line="198" w:lineRule="exact"/>
              <w:rPr>
                <w:sz w:val="20"/>
                <w:szCs w:val="20"/>
                <w:color w:val="auto"/>
              </w:rPr>
            </w:pPr>
            <w:r>
              <w:rPr>
                <w:rFonts w:ascii="Arial" w:cs="Arial" w:eastAsia="Arial" w:hAnsi="Arial"/>
                <w:sz w:val="18"/>
                <w:szCs w:val="18"/>
                <w:b w:val="1"/>
                <w:bCs w:val="1"/>
                <w:color w:val="auto"/>
                <w:w w:val="88"/>
              </w:rPr>
              <w:t>Dec. 31</w:t>
            </w:r>
          </w:p>
        </w:tc>
        <w:tc>
          <w:tcPr>
            <w:tcW w:w="90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rPr>
              <w:t>Dec. 31</w:t>
            </w:r>
          </w:p>
        </w:tc>
        <w:tc>
          <w:tcPr>
            <w:tcW w:w="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040" w:type="dxa"/>
            <w:vAlign w:val="bottom"/>
            <w:tcBorders>
              <w:top w:val="single" w:sz="8" w:color="auto"/>
              <w:right w:val="single" w:sz="8" w:color="auto"/>
            </w:tcBorders>
          </w:tcPr>
          <w:p>
            <w:pPr>
              <w:jc w:val="right"/>
              <w:ind w:right="270"/>
              <w:spacing w:after="0" w:line="198" w:lineRule="exact"/>
              <w:rPr>
                <w:sz w:val="20"/>
                <w:szCs w:val="20"/>
                <w:color w:val="auto"/>
              </w:rPr>
            </w:pPr>
            <w:r>
              <w:rPr>
                <w:rFonts w:ascii="Arial" w:cs="Arial" w:eastAsia="Arial" w:hAnsi="Arial"/>
                <w:sz w:val="18"/>
                <w:szCs w:val="18"/>
                <w:b w:val="1"/>
                <w:bCs w:val="1"/>
                <w:color w:val="auto"/>
              </w:rPr>
              <w:t>Dec. 31</w:t>
            </w:r>
          </w:p>
        </w:tc>
        <w:tc>
          <w:tcPr>
            <w:tcW w:w="980" w:type="dxa"/>
            <w:vAlign w:val="bottom"/>
            <w:tcBorders>
              <w:top w:val="single" w:sz="8" w:color="auto"/>
            </w:tcBorders>
            <w:gridSpan w:val="2"/>
          </w:tcPr>
          <w:p>
            <w:pPr>
              <w:jc w:val="right"/>
              <w:ind w:right="160"/>
              <w:spacing w:after="0" w:line="198" w:lineRule="exact"/>
              <w:rPr>
                <w:sz w:val="20"/>
                <w:szCs w:val="20"/>
                <w:color w:val="auto"/>
              </w:rPr>
            </w:pPr>
            <w:r>
              <w:rPr>
                <w:rFonts w:ascii="Arial" w:cs="Arial" w:eastAsia="Arial" w:hAnsi="Arial"/>
                <w:sz w:val="18"/>
                <w:szCs w:val="18"/>
                <w:b w:val="1"/>
                <w:bCs w:val="1"/>
                <w:color w:val="auto"/>
              </w:rPr>
              <w:t>Dec. 31</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indicated</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 Change</w:t>
            </w:r>
          </w:p>
        </w:tc>
        <w:tc>
          <w:tcPr>
            <w:tcW w:w="126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6"/>
              </w:rPr>
              <w:t>% Change</w:t>
            </w:r>
          </w:p>
        </w:tc>
        <w:tc>
          <w:tcPr>
            <w:tcW w:w="104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0"/>
        </w:trPr>
        <w:tc>
          <w:tcPr>
            <w:tcW w:w="22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right w:val="single" w:sz="8" w:color="CCEEFF"/>
            </w:tcBorders>
            <w:shd w:val="clear" w:color="auto" w:fill="CCEEFF"/>
          </w:tcPr>
          <w:p>
            <w:pPr>
              <w:spacing w:after="0"/>
              <w:rPr>
                <w:sz w:val="21"/>
                <w:szCs w:val="21"/>
                <w:color w:val="auto"/>
              </w:rPr>
            </w:pPr>
          </w:p>
        </w:tc>
        <w:tc>
          <w:tcPr>
            <w:tcW w:w="1000" w:type="dxa"/>
            <w:vAlign w:val="bottom"/>
            <w:tcBorders>
              <w:bottom w:val="single" w:sz="8" w:color="auto"/>
              <w:right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38,985</w:t>
            </w: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2,744</w:t>
            </w:r>
          </w:p>
        </w:tc>
        <w:tc>
          <w:tcPr>
            <w:tcW w:w="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36,241</w:t>
            </w:r>
          </w:p>
        </w:tc>
        <w:tc>
          <w:tcPr>
            <w:tcW w:w="1260" w:type="dxa"/>
            <w:vAlign w:val="bottom"/>
            <w:tcBorders>
              <w:bottom w:val="single" w:sz="8" w:color="auto"/>
              <w:right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i w:val="1"/>
                <w:iCs w:val="1"/>
                <w:color w:val="auto"/>
              </w:rPr>
              <w:t>nm</w:t>
            </w:r>
          </w:p>
        </w:tc>
        <w:tc>
          <w:tcPr>
            <w:tcW w:w="104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111,120</w:t>
            </w:r>
          </w:p>
        </w:tc>
        <w:tc>
          <w:tcPr>
            <w:tcW w:w="118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2,873</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108,247</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16"/>
        </w:trPr>
        <w:tc>
          <w:tcPr>
            <w:tcW w:w="2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Non-mining revenues (1)</w:t>
            </w:r>
          </w:p>
        </w:tc>
        <w:tc>
          <w:tcPr>
            <w:tcW w:w="140" w:type="dxa"/>
            <w:vAlign w:val="bottom"/>
          </w:tcPr>
          <w:p>
            <w:pPr>
              <w:spacing w:after="0"/>
              <w:rPr>
                <w:sz w:val="18"/>
                <w:szCs w:val="18"/>
                <w:color w:val="auto"/>
              </w:rPr>
            </w:pPr>
          </w:p>
        </w:tc>
        <w:tc>
          <w:tcPr>
            <w:tcW w:w="100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(1,206)</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(1,026)</w:t>
            </w:r>
          </w:p>
        </w:tc>
        <w:tc>
          <w:tcPr>
            <w:tcW w:w="1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(180)</w:t>
            </w:r>
          </w:p>
        </w:tc>
        <w:tc>
          <w:tcPr>
            <w:tcW w:w="12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18%</w:t>
            </w:r>
          </w:p>
        </w:tc>
        <w:tc>
          <w:tcPr>
            <w:tcW w:w="10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(4,425)</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(2,637)</w:t>
            </w:r>
          </w:p>
        </w:tc>
        <w:tc>
          <w:tcPr>
            <w:tcW w:w="1060" w:type="dxa"/>
            <w:vAlign w:val="bottom"/>
          </w:tcPr>
          <w:p>
            <w:pPr>
              <w:jc w:val="right"/>
              <w:spacing w:after="0"/>
              <w:rPr>
                <w:sz w:val="20"/>
                <w:szCs w:val="20"/>
                <w:color w:val="auto"/>
              </w:rPr>
            </w:pPr>
            <w:r>
              <w:rPr>
                <w:rFonts w:ascii="Arial" w:cs="Arial" w:eastAsia="Arial" w:hAnsi="Arial"/>
                <w:sz w:val="18"/>
                <w:szCs w:val="18"/>
                <w:color w:val="auto"/>
              </w:rPr>
              <w:t>(1,788)</w:t>
            </w: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2"/>
        </w:trPr>
        <w:tc>
          <w:tcPr>
            <w:tcW w:w="220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Depreciation and</w:t>
            </w:r>
          </w:p>
        </w:tc>
        <w:tc>
          <w:tcPr>
            <w:tcW w:w="140" w:type="dxa"/>
            <w:vAlign w:val="bottom"/>
            <w:tcBorders>
              <w:right w:val="single" w:sz="8" w:color="CCEEFF"/>
            </w:tcBorders>
            <w:shd w:val="clear" w:color="auto" w:fill="CCEEFF"/>
          </w:tcPr>
          <w:p>
            <w:pPr>
              <w:spacing w:after="0"/>
              <w:rPr>
                <w:sz w:val="17"/>
                <w:szCs w:val="17"/>
                <w:color w:val="auto"/>
              </w:rPr>
            </w:pPr>
          </w:p>
        </w:tc>
        <w:tc>
          <w:tcPr>
            <w:tcW w:w="1000" w:type="dxa"/>
            <w:vAlign w:val="bottom"/>
            <w:tcBorders>
              <w:right w:val="single" w:sz="8" w:color="auto"/>
            </w:tcBorders>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10,287</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60" w:type="dxa"/>
            <w:vAlign w:val="bottom"/>
            <w:tcBorders>
              <w:right w:val="single" w:sz="8" w:color="auto"/>
            </w:tcBorders>
            <w:shd w:val="clear" w:color="auto" w:fill="CCEEFF"/>
          </w:tcPr>
          <w:p>
            <w:pPr>
              <w:spacing w:after="0"/>
              <w:rPr>
                <w:sz w:val="17"/>
                <w:szCs w:val="17"/>
                <w:color w:val="auto"/>
              </w:rPr>
            </w:pPr>
          </w:p>
        </w:tc>
        <w:tc>
          <w:tcPr>
            <w:tcW w:w="1040" w:type="dxa"/>
            <w:vAlign w:val="bottom"/>
            <w:tcBorders>
              <w:right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24,476</w:t>
            </w: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amortization expense</w:t>
            </w:r>
          </w:p>
        </w:tc>
        <w:tc>
          <w:tcPr>
            <w:tcW w:w="140" w:type="dxa"/>
            <w:vAlign w:val="bottom"/>
            <w:tcBorders>
              <w:right w:val="single" w:sz="8" w:color="CCEEFF"/>
            </w:tcBorders>
            <w:shd w:val="clear" w:color="auto" w:fill="CCEEFF"/>
          </w:tcPr>
          <w:p>
            <w:pPr>
              <w:spacing w:after="0"/>
              <w:rPr>
                <w:sz w:val="20"/>
                <w:szCs w:val="20"/>
                <w:color w:val="auto"/>
              </w:rPr>
            </w:pPr>
          </w:p>
        </w:tc>
        <w:tc>
          <w:tcPr>
            <w:tcW w:w="1000" w:type="dxa"/>
            <w:vAlign w:val="bottom"/>
            <w:tcBorders>
              <w:right w:val="single" w:sz="8" w:color="auto"/>
            </w:tcBorders>
            <w:vMerge w:val="continue"/>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2,834</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7,453</w:t>
            </w:r>
          </w:p>
        </w:tc>
        <w:tc>
          <w:tcPr>
            <w:tcW w:w="1260" w:type="dxa"/>
            <w:vAlign w:val="bottom"/>
            <w:tcBorders>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263%</w:t>
            </w:r>
          </w:p>
        </w:tc>
        <w:tc>
          <w:tcPr>
            <w:tcW w:w="1040" w:type="dxa"/>
            <w:vAlign w:val="bottom"/>
            <w:tcBorders>
              <w:right w:val="single" w:sz="8" w:color="auto"/>
            </w:tcBorders>
            <w:vMerge w:val="continue"/>
            <w:shd w:val="clear" w:color="auto" w:fill="CCEEFF"/>
          </w:tcPr>
          <w:p>
            <w:pPr>
              <w:spacing w:after="0"/>
              <w:rPr>
                <w:sz w:val="20"/>
                <w:szCs w:val="20"/>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11,486</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12,990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2"/>
        </w:trPr>
        <w:tc>
          <w:tcPr>
            <w:tcW w:w="22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Purchases of electrical</w:t>
            </w:r>
          </w:p>
        </w:tc>
        <w:tc>
          <w:tcPr>
            <w:tcW w:w="140" w:type="dxa"/>
            <w:vAlign w:val="bottom"/>
          </w:tcPr>
          <w:p>
            <w:pPr>
              <w:spacing w:after="0"/>
              <w:rPr>
                <w:sz w:val="17"/>
                <w:szCs w:val="17"/>
                <w:color w:val="auto"/>
              </w:rPr>
            </w:pPr>
          </w:p>
        </w:tc>
        <w:tc>
          <w:tcPr>
            <w:tcW w:w="1000" w:type="dxa"/>
            <w:vAlign w:val="bottom"/>
            <w:tcBorders>
              <w:right w:val="single" w:sz="8" w:color="auto"/>
            </w:tcBorders>
            <w:vMerge w:val="restart"/>
          </w:tcPr>
          <w:p>
            <w:pPr>
              <w:jc w:val="right"/>
              <w:ind w:right="190"/>
              <w:spacing w:after="0"/>
              <w:rPr>
                <w:sz w:val="20"/>
                <w:szCs w:val="20"/>
                <w:color w:val="auto"/>
              </w:rPr>
            </w:pPr>
            <w:r>
              <w:rPr>
                <w:rFonts w:ascii="Arial" w:cs="Arial" w:eastAsia="Arial" w:hAnsi="Arial"/>
                <w:sz w:val="18"/>
                <w:szCs w:val="18"/>
                <w:b w:val="1"/>
                <w:bCs w:val="1"/>
                <w:color w:val="auto"/>
              </w:rPr>
              <w:t>560</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1,986</w:t>
            </w: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components and other</w:t>
            </w:r>
          </w:p>
        </w:tc>
        <w:tc>
          <w:tcPr>
            <w:tcW w:w="140" w:type="dxa"/>
            <w:vAlign w:val="bottom"/>
          </w:tcPr>
          <w:p>
            <w:pPr>
              <w:spacing w:after="0"/>
              <w:rPr>
                <w:sz w:val="20"/>
                <w:szCs w:val="20"/>
                <w:color w:val="auto"/>
              </w:rPr>
            </w:pPr>
          </w:p>
        </w:tc>
        <w:tc>
          <w:tcPr>
            <w:tcW w:w="1000" w:type="dxa"/>
            <w:vAlign w:val="bottom"/>
            <w:tcBorders>
              <w:right w:val="single" w:sz="8" w:color="auto"/>
            </w:tcBorders>
            <w:vMerge w:val="continue"/>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567</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12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1040" w:type="dxa"/>
            <w:vAlign w:val="bottom"/>
            <w:tcBorders>
              <w:right w:val="single" w:sz="8" w:color="auto"/>
            </w:tcBorders>
            <w:vMerge w:val="continue"/>
          </w:tcPr>
          <w:p>
            <w:pPr>
              <w:spacing w:after="0"/>
              <w:rPr>
                <w:sz w:val="20"/>
                <w:szCs w:val="20"/>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1,153</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833</w:t>
            </w: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2"/>
        </w:trPr>
        <w:tc>
          <w:tcPr>
            <w:tcW w:w="220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Electrician salaries and</w:t>
            </w:r>
          </w:p>
        </w:tc>
        <w:tc>
          <w:tcPr>
            <w:tcW w:w="140" w:type="dxa"/>
            <w:vAlign w:val="bottom"/>
            <w:tcBorders>
              <w:right w:val="single" w:sz="8" w:color="CCEEFF"/>
            </w:tcBorders>
            <w:shd w:val="clear" w:color="auto" w:fill="CCEEFF"/>
          </w:tcPr>
          <w:p>
            <w:pPr>
              <w:spacing w:after="0"/>
              <w:rPr>
                <w:sz w:val="17"/>
                <w:szCs w:val="17"/>
                <w:color w:val="auto"/>
              </w:rPr>
            </w:pPr>
          </w:p>
        </w:tc>
        <w:tc>
          <w:tcPr>
            <w:tcW w:w="1000" w:type="dxa"/>
            <w:vAlign w:val="bottom"/>
            <w:tcBorders>
              <w:right w:val="single" w:sz="8" w:color="auto"/>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60" w:type="dxa"/>
            <w:vAlign w:val="bottom"/>
            <w:tcBorders>
              <w:right w:val="single" w:sz="8" w:color="auto"/>
            </w:tcBorders>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2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payroll taxes</w:t>
            </w:r>
          </w:p>
        </w:tc>
        <w:tc>
          <w:tcPr>
            <w:tcW w:w="140" w:type="dxa"/>
            <w:vAlign w:val="bottom"/>
            <w:tcBorders>
              <w:bottom w:val="single" w:sz="8" w:color="auto"/>
              <w:right w:val="single" w:sz="8" w:color="CCEEFF"/>
            </w:tcBorders>
            <w:shd w:val="clear" w:color="auto" w:fill="CCEEFF"/>
          </w:tcPr>
          <w:p>
            <w:pPr>
              <w:spacing w:after="0"/>
              <w:rPr>
                <w:sz w:val="22"/>
                <w:szCs w:val="22"/>
                <w:color w:val="auto"/>
              </w:rPr>
            </w:pPr>
          </w:p>
        </w:tc>
        <w:tc>
          <w:tcPr>
            <w:tcW w:w="1000" w:type="dxa"/>
            <w:vAlign w:val="bottom"/>
            <w:tcBorders>
              <w:bottom w:val="single" w:sz="8" w:color="auto"/>
              <w:right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429</w:t>
            </w: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w:t>
            </w:r>
          </w:p>
        </w:tc>
        <w:tc>
          <w:tcPr>
            <w:tcW w:w="4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87</w:t>
            </w:r>
          </w:p>
        </w:tc>
        <w:tc>
          <w:tcPr>
            <w:tcW w:w="126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1040" w:type="dxa"/>
            <w:vAlign w:val="bottom"/>
            <w:tcBorders>
              <w:bottom w:val="single" w:sz="8" w:color="auto"/>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1,727</w:t>
            </w:r>
          </w:p>
        </w:tc>
        <w:tc>
          <w:tcPr>
            <w:tcW w:w="118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907</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2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Gross mining profit (2)</w:t>
            </w:r>
          </w:p>
        </w:tc>
        <w:tc>
          <w:tcPr>
            <w:tcW w:w="140" w:type="dxa"/>
            <w:vAlign w:val="bottom"/>
          </w:tcPr>
          <w:p>
            <w:pPr>
              <w:spacing w:after="0"/>
              <w:rPr>
                <w:sz w:val="18"/>
                <w:szCs w:val="18"/>
                <w:color w:val="auto"/>
              </w:rPr>
            </w:pPr>
          </w:p>
        </w:tc>
        <w:tc>
          <w:tcPr>
            <w:tcW w:w="100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49,055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5,461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43,594</w:t>
            </w:r>
          </w:p>
        </w:tc>
        <w:tc>
          <w:tcPr>
            <w:tcW w:w="12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798%</w:t>
            </w:r>
          </w:p>
        </w:tc>
        <w:tc>
          <w:tcPr>
            <w:tcW w:w="104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134,884</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13,782</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121,102</w:t>
            </w:r>
          </w:p>
        </w:tc>
        <w:tc>
          <w:tcPr>
            <w:tcW w:w="1140" w:type="dxa"/>
            <w:vAlign w:val="bottom"/>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50"/>
        </w:trPr>
        <w:tc>
          <w:tcPr>
            <w:tcW w:w="22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mining margin</w:t>
            </w:r>
          </w:p>
        </w:tc>
        <w:tc>
          <w:tcPr>
            <w:tcW w:w="140" w:type="dxa"/>
            <w:vAlign w:val="bottom"/>
            <w:tcBorders>
              <w:bottom w:val="single" w:sz="8" w:color="auto"/>
              <w:right w:val="single" w:sz="8" w:color="CCEEFF"/>
            </w:tcBorders>
            <w:shd w:val="clear" w:color="auto" w:fill="CCEEFF"/>
          </w:tcPr>
          <w:p>
            <w:pPr>
              <w:spacing w:after="0"/>
              <w:rPr>
                <w:sz w:val="21"/>
                <w:szCs w:val="21"/>
                <w:color w:val="auto"/>
              </w:rPr>
            </w:pPr>
          </w:p>
        </w:tc>
        <w:tc>
          <w:tcPr>
            <w:tcW w:w="10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84%</w:t>
            </w:r>
          </w:p>
        </w:tc>
        <w:tc>
          <w:tcPr>
            <w:tcW w:w="11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11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3340" w:type="dxa"/>
            <w:vAlign w:val="bottom"/>
            <w:gridSpan w:val="3"/>
          </w:tcPr>
          <w:p>
            <w:pPr>
              <w:spacing w:after="0"/>
              <w:rPr>
                <w:sz w:val="20"/>
                <w:szCs w:val="20"/>
                <w:color w:val="auto"/>
              </w:rPr>
            </w:pPr>
            <w:r>
              <w:rPr>
                <w:rFonts w:ascii="Arial" w:cs="Arial" w:eastAsia="Arial" w:hAnsi="Arial"/>
                <w:sz w:val="18"/>
                <w:szCs w:val="18"/>
                <w:color w:val="auto"/>
              </w:rPr>
              <w:t>(1)  Non-mining revenues reconciliation:</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(U.S.$ in thousands except</w:t>
            </w:r>
          </w:p>
        </w:tc>
        <w:tc>
          <w:tcPr>
            <w:tcW w:w="2140" w:type="dxa"/>
            <w:vAlign w:val="bottom"/>
            <w:gridSpan w:val="5"/>
            <w:vMerge w:val="restart"/>
          </w:tcPr>
          <w:p>
            <w:pPr>
              <w:jc w:val="right"/>
              <w:ind w:right="360"/>
              <w:spacing w:after="0"/>
              <w:rPr>
                <w:sz w:val="20"/>
                <w:szCs w:val="20"/>
                <w:color w:val="auto"/>
              </w:rPr>
            </w:pPr>
            <w:r>
              <w:rPr>
                <w:rFonts w:ascii="Arial" w:cs="Arial" w:eastAsia="Arial" w:hAnsi="Arial"/>
                <w:sz w:val="18"/>
                <w:szCs w:val="18"/>
                <w:b w:val="1"/>
                <w:bCs w:val="1"/>
                <w:color w:val="auto"/>
                <w:w w:val="99"/>
              </w:rPr>
              <w:t>Three months ended</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20" w:type="dxa"/>
            <w:vAlign w:val="bottom"/>
            <w:gridSpan w:val="4"/>
            <w:vMerge w:val="restart"/>
          </w:tcPr>
          <w:p>
            <w:pPr>
              <w:jc w:val="right"/>
              <w:ind w:right="400"/>
              <w:spacing w:after="0"/>
              <w:rPr>
                <w:sz w:val="20"/>
                <w:szCs w:val="20"/>
                <w:color w:val="auto"/>
              </w:rPr>
            </w:pPr>
            <w:r>
              <w:rPr>
                <w:rFonts w:ascii="Arial" w:cs="Arial" w:eastAsia="Arial" w:hAnsi="Arial"/>
                <w:sz w:val="18"/>
                <w:szCs w:val="18"/>
                <w:b w:val="1"/>
                <w:bCs w:val="1"/>
                <w:color w:val="auto"/>
                <w:w w:val="95"/>
              </w:rPr>
              <w:t>Twelve months ended</w:t>
            </w: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340" w:type="dxa"/>
            <w:vAlign w:val="bottom"/>
            <w:gridSpan w:val="2"/>
          </w:tcPr>
          <w:p>
            <w:pPr>
              <w:spacing w:after="0"/>
              <w:rPr>
                <w:sz w:val="20"/>
                <w:szCs w:val="20"/>
                <w:color w:val="auto"/>
              </w:rPr>
            </w:pPr>
            <w:r>
              <w:rPr>
                <w:rFonts w:ascii="Arial" w:cs="Arial" w:eastAsia="Arial" w:hAnsi="Arial"/>
                <w:sz w:val="18"/>
                <w:szCs w:val="18"/>
                <w:color w:val="auto"/>
              </w:rPr>
              <w:t>where indicated)</w:t>
            </w:r>
          </w:p>
        </w:tc>
        <w:tc>
          <w:tcPr>
            <w:tcW w:w="2140" w:type="dxa"/>
            <w:vAlign w:val="bottom"/>
            <w:gridSpan w:val="5"/>
            <w:vMerge w:val="continue"/>
          </w:tcPr>
          <w:p>
            <w:pPr>
              <w:spacing w:after="0"/>
              <w:rPr>
                <w:sz w:val="21"/>
                <w:szCs w:val="21"/>
                <w:color w:val="auto"/>
              </w:rPr>
            </w:pPr>
          </w:p>
        </w:tc>
        <w:tc>
          <w:tcPr>
            <w:tcW w:w="10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20" w:type="dxa"/>
            <w:vAlign w:val="bottom"/>
            <w:gridSpan w:val="4"/>
            <w:vMerge w:val="continue"/>
          </w:tcPr>
          <w:p>
            <w:pPr>
              <w:spacing w:after="0"/>
              <w:rPr>
                <w:sz w:val="21"/>
                <w:szCs w:val="21"/>
                <w:color w:val="auto"/>
              </w:rPr>
            </w:pPr>
          </w:p>
        </w:tc>
        <w:tc>
          <w:tcPr>
            <w:tcW w:w="1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340" w:type="dxa"/>
            <w:vAlign w:val="bottom"/>
            <w:tcBorders>
              <w:right w:val="single" w:sz="8" w:color="auto"/>
            </w:tcBorders>
            <w:gridSpan w:val="2"/>
          </w:tcPr>
          <w:p>
            <w:pPr>
              <w:spacing w:after="0" w:line="198" w:lineRule="exact"/>
              <w:rPr>
                <w:sz w:val="20"/>
                <w:szCs w:val="20"/>
                <w:color w:val="auto"/>
              </w:rPr>
            </w:pPr>
            <w:r>
              <w:rPr>
                <w:rFonts w:ascii="Arial" w:cs="Arial" w:eastAsia="Arial" w:hAnsi="Arial"/>
                <w:sz w:val="18"/>
                <w:szCs w:val="18"/>
                <w:color w:val="auto"/>
              </w:rPr>
              <w:t>For the periods ended as</w:t>
            </w:r>
          </w:p>
        </w:tc>
        <w:tc>
          <w:tcPr>
            <w:tcW w:w="1000" w:type="dxa"/>
            <w:vAlign w:val="bottom"/>
            <w:tcBorders>
              <w:top w:val="single" w:sz="8" w:color="auto"/>
              <w:right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rPr>
              <w:t>Dec. 31</w:t>
            </w:r>
          </w:p>
        </w:tc>
        <w:tc>
          <w:tcPr>
            <w:tcW w:w="980" w:type="dxa"/>
            <w:vAlign w:val="bottom"/>
            <w:tcBorders>
              <w:top w:val="single" w:sz="8" w:color="auto"/>
            </w:tcBorders>
            <w:gridSpan w:val="3"/>
          </w:tcPr>
          <w:p>
            <w:pPr>
              <w:jc w:val="right"/>
              <w:ind w:right="160"/>
              <w:spacing w:after="0" w:line="198" w:lineRule="exact"/>
              <w:rPr>
                <w:sz w:val="20"/>
                <w:szCs w:val="20"/>
                <w:color w:val="auto"/>
              </w:rPr>
            </w:pPr>
            <w:r>
              <w:rPr>
                <w:rFonts w:ascii="Arial" w:cs="Arial" w:eastAsia="Arial" w:hAnsi="Arial"/>
                <w:sz w:val="18"/>
                <w:szCs w:val="18"/>
                <w:b w:val="1"/>
                <w:bCs w:val="1"/>
                <w:color w:val="auto"/>
              </w:rPr>
              <w:t>Dec. 31</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040" w:type="dxa"/>
            <w:vAlign w:val="bottom"/>
            <w:tcBorders>
              <w:top w:val="single" w:sz="8" w:color="auto"/>
              <w:right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88"/>
              </w:rPr>
              <w:t>Dec. 31</w:t>
            </w:r>
          </w:p>
        </w:tc>
        <w:tc>
          <w:tcPr>
            <w:tcW w:w="94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rPr>
              <w:t>Dec. 31</w:t>
            </w:r>
          </w:p>
        </w:tc>
        <w:tc>
          <w:tcPr>
            <w:tcW w:w="24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indicated</w:t>
            </w:r>
          </w:p>
        </w:tc>
        <w:tc>
          <w:tcPr>
            <w:tcW w:w="100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126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Change</w:t>
            </w:r>
          </w:p>
        </w:tc>
        <w:tc>
          <w:tcPr>
            <w:tcW w:w="104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 Change</w:t>
            </w:r>
          </w:p>
        </w:tc>
        <w:tc>
          <w:tcPr>
            <w:tcW w:w="11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250"/>
        </w:trPr>
        <w:tc>
          <w:tcPr>
            <w:tcW w:w="23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59,598</w:t>
            </w:r>
          </w:p>
        </w:tc>
        <w:tc>
          <w:tcPr>
            <w:tcW w:w="114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11,324</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48,274</w:t>
            </w: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426%</w:t>
            </w:r>
          </w:p>
        </w:tc>
        <w:tc>
          <w:tcPr>
            <w:tcW w:w="104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169,491</w:t>
            </w: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34,703</w:t>
            </w:r>
          </w:p>
        </w:tc>
        <w:tc>
          <w:tcPr>
            <w:tcW w:w="2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134,788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2"/>
        </w:trPr>
        <w:tc>
          <w:tcPr>
            <w:tcW w:w="2340" w:type="dxa"/>
            <w:vAlign w:val="bottom"/>
            <w:tcBorders>
              <w:right w:val="single" w:sz="8" w:color="auto"/>
            </w:tcBorders>
            <w:gridSpan w:val="2"/>
          </w:tcPr>
          <w:p>
            <w:pPr>
              <w:spacing w:after="0" w:line="201" w:lineRule="exact"/>
              <w:rPr>
                <w:sz w:val="20"/>
                <w:szCs w:val="20"/>
                <w:color w:val="auto"/>
              </w:rPr>
            </w:pPr>
            <w:r>
              <w:rPr>
                <w:rFonts w:ascii="Arial" w:cs="Arial" w:eastAsia="Arial" w:hAnsi="Arial"/>
                <w:sz w:val="18"/>
                <w:szCs w:val="18"/>
                <w:color w:val="auto"/>
                <w:w w:val="97"/>
              </w:rPr>
              <w:t>Less mining related revenues</w:t>
            </w:r>
          </w:p>
        </w:tc>
        <w:tc>
          <w:tcPr>
            <w:tcW w:w="100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for the purpose of</w:t>
            </w:r>
          </w:p>
        </w:tc>
        <w:tc>
          <w:tcPr>
            <w:tcW w:w="100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calculating gross mining</w:t>
            </w:r>
          </w:p>
        </w:tc>
        <w:tc>
          <w:tcPr>
            <w:tcW w:w="100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margin:</w:t>
            </w:r>
          </w:p>
        </w:tc>
        <w:tc>
          <w:tcPr>
            <w:tcW w:w="100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Mining revenues</w:t>
            </w:r>
          </w:p>
        </w:tc>
        <w:tc>
          <w:tcPr>
            <w:tcW w:w="10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(58,392)</w:t>
            </w:r>
          </w:p>
        </w:tc>
        <w:tc>
          <w:tcPr>
            <w:tcW w:w="11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(9,701)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(48,691)</w:t>
            </w:r>
          </w:p>
        </w:tc>
        <w:tc>
          <w:tcPr>
            <w:tcW w:w="12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502%</w:t>
            </w:r>
          </w:p>
        </w:tc>
        <w:tc>
          <w:tcPr>
            <w:tcW w:w="10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(164,393)</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(31,125)</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(133,268)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50"/>
        </w:trPr>
        <w:tc>
          <w:tcPr>
            <w:tcW w:w="2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Hosting revenues</w:t>
            </w: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(597)</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597</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100%</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(673)</w:t>
            </w:r>
          </w:p>
        </w:tc>
        <w:tc>
          <w:tcPr>
            <w:tcW w:w="11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(941)</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0"/>
        </w:trPr>
        <w:tc>
          <w:tcPr>
            <w:tcW w:w="23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Non-mining revenues</w:t>
            </w:r>
          </w:p>
        </w:tc>
        <w:tc>
          <w:tcPr>
            <w:tcW w:w="10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1,206</w:t>
            </w:r>
          </w:p>
        </w:tc>
        <w:tc>
          <w:tcPr>
            <w:tcW w:w="114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1,026</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4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4,425</w:t>
            </w: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2,637</w:t>
            </w:r>
          </w:p>
        </w:tc>
        <w:tc>
          <w:tcPr>
            <w:tcW w:w="2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1,788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hanging="332"/>
        <w:spacing w:after="0" w:line="263" w:lineRule="auto"/>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“Gross mining profit” is defined as Gross profit excluding depreciation and amortization and other minor items included in cost of sales that do not directly relate to mining related activities. “Gross mining margin” is defined as the percentage obtained when dividing Gross mining profit by Revenues from mining related activities.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6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-119380</wp:posOffset>
            </wp:positionV>
            <wp:extent cx="1543050" cy="4286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Geographical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Bitfarms’ revenues were $59.6 million in Q4 2021, compared to $11.3 million in Q4 2020. The increase of $48.3 million, or 427%, in revenues was mainly due to the increase of revenues in Canada of $37.3 million. USA revenues in Q4 2021 were $11.0 million compared to $nil in Q4 2020 due to having miners hosted in Washington State and then acquiring the facility in Q4 2021. For further details of the global increase in revenues, see the revenue reconciliation performed in the Consolidated Results of Operations section above.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twelve months ended December 31, 2021, Bitfarms’ revenues were $169.5 million, compared to $34.7 million for the same period in 2020. The increase of $134.8 million, or 388%, in revenues was mainly due to the $118.6 million increase of revenues in Canada. USA revenues in FY 2021 compared to FY 2020 increased $16.2 million due to having miners hosted in Washington State and then acquiring the facility in Q4 2021. For further details of the global increase in revenues, see the revenue reconciliation performed in the Consolidated Results of Operations section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at December 31, 2021, Bitfarms had a property, plant and equipment (“PPE”) of $136.9 million compared to a $35.8 million as at December 31, 2020. The increase of $101.1 million, or 282% was primarily due to a $47.6 million increase of PPE in Canada and a $51.7 million increase of PPE in USA. With the expansion in South America underway, Bitfarms added PPE of $0.7 million and $1.1 million in Argentina and Paraguay,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below, the Company’s financing strategy involves utilizing both short-term debt, long-term debt and equity instruments. The Company anticipates requiring additional funds to complete its growth plans discussed in the </w:t>
      </w:r>
      <w:r>
        <w:rPr>
          <w:rFonts w:ascii="Arial" w:cs="Arial" w:eastAsia="Arial" w:hAnsi="Arial"/>
          <w:sz w:val="18"/>
          <w:szCs w:val="18"/>
          <w:i w:val="1"/>
          <w:iCs w:val="1"/>
          <w:color w:val="auto"/>
        </w:rPr>
        <w:t>Expansions</w:t>
      </w:r>
      <w:r>
        <w:rPr>
          <w:rFonts w:ascii="Arial" w:cs="Arial" w:eastAsia="Arial" w:hAnsi="Arial"/>
          <w:sz w:val="18"/>
          <w:szCs w:val="18"/>
          <w:color w:val="auto"/>
        </w:rPr>
        <w:t xml:space="preserve"> section of this MD&amp;A.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the Company operates through subsidiaries, there are no material legal or practical restrictions on the ability of the subsidiaries to transfer funds to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Cash Flows</w:t>
            </w:r>
          </w:p>
        </w:tc>
        <w:tc>
          <w:tcPr>
            <w:tcW w:w="1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66"/>
        </w:trPr>
        <w:tc>
          <w:tcPr>
            <w:tcW w:w="5960" w:type="dxa"/>
            <w:vAlign w:val="bottom"/>
          </w:tcPr>
          <w:p>
            <w:pPr>
              <w:spacing w:after="0"/>
              <w:rPr>
                <w:sz w:val="20"/>
                <w:szCs w:val="20"/>
                <w:color w:val="auto"/>
              </w:rPr>
            </w:pPr>
            <w:r>
              <w:rPr>
                <w:rFonts w:ascii="Arial" w:cs="Arial" w:eastAsia="Arial" w:hAnsi="Arial"/>
                <w:sz w:val="18"/>
                <w:szCs w:val="18"/>
                <w:color w:val="auto"/>
              </w:rPr>
              <w:t>(U.S. $ in thousands except where indicated)</w:t>
            </w:r>
          </w:p>
        </w:tc>
        <w:tc>
          <w:tcPr>
            <w:tcW w:w="24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Twelve months ended</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5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For the periods ended as indicated</w:t>
            </w:r>
          </w:p>
        </w:tc>
        <w:tc>
          <w:tcPr>
            <w:tcW w:w="122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Dec. 31 2021</w:t>
            </w:r>
          </w:p>
        </w:tc>
        <w:tc>
          <w:tcPr>
            <w:tcW w:w="14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Dec. 31 2020</w:t>
            </w: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 Change</w:t>
            </w: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59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Cash, beginning of the period</w:t>
            </w:r>
          </w:p>
        </w:tc>
        <w:tc>
          <w:tcPr>
            <w:tcW w:w="12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5,947</w:t>
            </w:r>
          </w:p>
        </w:tc>
        <w:tc>
          <w:tcPr>
            <w:tcW w:w="14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2,159</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3,788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59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Cash flows from (used in):</w:t>
            </w:r>
          </w:p>
        </w:tc>
        <w:tc>
          <w:tcPr>
            <w:tcW w:w="122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96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(37,170)</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7,223</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(44,393)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16"/>
        </w:trPr>
        <w:tc>
          <w:tcPr>
            <w:tcW w:w="59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Investing activities</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(215,147)</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(3,605)</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(211,542)</w:t>
            </w:r>
          </w:p>
        </w:tc>
        <w:tc>
          <w:tcPr>
            <w:tcW w:w="1320" w:type="dxa"/>
            <w:vAlign w:val="bottom"/>
          </w:tcPr>
          <w:p>
            <w:pPr>
              <w:jc w:val="right"/>
              <w:ind w:right="130"/>
              <w:spacing w:after="0"/>
              <w:rPr>
                <w:sz w:val="20"/>
                <w:szCs w:val="20"/>
                <w:color w:val="auto"/>
              </w:rPr>
            </w:pPr>
            <w:r>
              <w:rPr>
                <w:rFonts w:ascii="Arial" w:cs="Arial" w:eastAsia="Arial" w:hAnsi="Arial"/>
                <w:sz w:val="18"/>
                <w:szCs w:val="18"/>
                <w:i w:val="1"/>
                <w:iCs w:val="1"/>
                <w:color w:val="auto"/>
              </w:rPr>
              <w:t>nm</w:t>
            </w:r>
          </w:p>
        </w:tc>
      </w:tr>
      <w:tr>
        <w:trPr>
          <w:trHeight w:val="216"/>
        </w:trPr>
        <w:tc>
          <w:tcPr>
            <w:tcW w:w="5960" w:type="dxa"/>
            <w:vAlign w:val="bottom"/>
            <w:tcBorders>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122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371,986</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371,801</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nm</w:t>
            </w:r>
          </w:p>
        </w:tc>
      </w:tr>
      <w:tr>
        <w:trPr>
          <w:trHeight w:val="250"/>
        </w:trPr>
        <w:tc>
          <w:tcPr>
            <w:tcW w:w="59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Exchange rate differences on currency translation</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4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(15)</w:t>
            </w: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50"/>
        </w:trPr>
        <w:tc>
          <w:tcPr>
            <w:tcW w:w="59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Cash, end of the period</w:t>
            </w:r>
          </w:p>
        </w:tc>
        <w:tc>
          <w:tcPr>
            <w:tcW w:w="12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125,595</w:t>
            </w:r>
          </w:p>
        </w:tc>
        <w:tc>
          <w:tcPr>
            <w:tcW w:w="14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5,947</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119,648</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nm</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Operating Activities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Cash flows used in operating activities increased by $44.4 million during the twelve months ended December 31, 2021, compared to twelve months ended December 31, 2020. The decrease in net cash flows from operating activities was primarily driven by the initiation of a Bitcoin retention program which led to 3,301 Bitcoin being held at the end of the period rather than being converted into fiat currency during the twelve months ended December 31, 2021.</w:t>
      </w:r>
    </w:p>
    <w:p>
      <w:pPr>
        <w:spacing w:after="0" w:line="365"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-119380</wp:posOffset>
            </wp:positionV>
            <wp:extent cx="1543050" cy="4286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flows used in investing activities increased by $211.5 million during the twelve months ended December 31, 2021, compared to twelve months ended December 31, 2020. This was primarily due to $85.1 million in advanced payments made on new PPE, mostly related to securing the delivery of 48,000 MicroBT Miners and 1,200 Bitmain Miners for delivery in 2022. The Company invested $23.0 million to acquire the Washington facility and electricity contracts, as well as $107.1 million of net additions to property, plant and equipment in FY 2021 for Miners and infrastructure buildout, compared to $3.6 million of net additions in FY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flows from financing activities increased by $371.8 million during the twelve months ended December 31, 2021, compared to twelve months ended December 31, 2020. This was primarily due to $114.5 million of total net proceeds received from four private placements to U.S. institutional investors, $63.3 million of proceeds from the exercise of warrants and stock options, $145.6 million of net proceeds from the Company’s at-the-market equity program offset by $0.8 million of capitalized transaction costs, $14.2 million of proceeds from new long-term debt and $60.0 million proceeds from the new credit facility. These proceeds were partially offset by approximately $20.5 million of payments to retire the Dominion Capital loan and service new debt obligations, and lease liability repayments of approximately $4.2 million. In FY 2020, $2.0 million was raised from the exercise of warrants and stock options and there were proceeds from long-term debt of $0.1 million which were offset by long-term debt and lease repayments of $0.5 million and $1.5 million,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at December 31, 2021, Bitfarms had a positive working capital of $185.9 million compared to a working capital deficit of $19.3 million as at December 31, 2020. The improvement in working capital was primarily due to $322.5 million raised in total from the four private placements, the at-the-market equity program and the exercise of warrants and stock options, and the accumulation of 3,301 Bitcoin with a fair value approximating $152.9 million as of December 31, 2021. The proceeds were used primarily to acquire property, plant and equipment and make deposits to secure orders of Mining hardware and electrical distribution equipment and to repay the Dominion Capital loan.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Bitfarms’ capital management objective is to provide the financial resources that will enable the Company to maximize the return to its shareholders while optimizing its cost of capital. In order to achieve this objective, the Company monitors its capital structure and makes adjustments as required in light of changes in economic conditions and the risks to which the Company is exposed. The Company’s strategy for achieving this objective is to maintain a flexible capital structure that optimizes the cost of capital at an acceptable level of risk, to preserve its ability to meet financial obligations as they come due, and to ensure the Company has sufficient financial resources to fund its organic and acquisitive growth.</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presently anticipates that additional financing will be required to complete the required remaining payments on its order of 48,000 Miners scheduled for delivery in 2022 and to complete construction of the South American and Sherbrooke expansions which are necessary for the Company to meet its objective of generating 8.0 Exahash of computing power by the end of 2022. The Company also anticipates that additional financing will be required to purchase the miners required to utilize its maximum capacity. In order to achieve these business objectives, the Company may liquidate or borrow against the Bitcoin that have been accumulated as of the date hereof as well as Bitcoin generated from ongoing operations, which may or may not be possible on commercially attractive terms.</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-119380</wp:posOffset>
            </wp:positionV>
            <wp:extent cx="1543050" cy="4286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Bitfarms may manage its capital structure by issuing equity, obtaining loan financing, adjusting capital spending, or disposing of assets. Refer to the </w:t>
      </w:r>
      <w:r>
        <w:rPr>
          <w:rFonts w:ascii="Arial" w:cs="Arial" w:eastAsia="Arial" w:hAnsi="Arial"/>
          <w:sz w:val="18"/>
          <w:szCs w:val="18"/>
          <w:i w:val="1"/>
          <w:iCs w:val="1"/>
          <w:color w:val="auto"/>
        </w:rPr>
        <w:t xml:space="preserve">Commitments and Liquidity Risk </w:t>
      </w:r>
      <w:r>
        <w:rPr>
          <w:rFonts w:ascii="Arial" w:cs="Arial" w:eastAsia="Arial" w:hAnsi="Arial"/>
          <w:sz w:val="18"/>
          <w:szCs w:val="18"/>
          <w:color w:val="auto"/>
        </w:rPr>
        <w:t>section of this MD&amp;A for more details.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Bitcoin Retention Program</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early January 2021, the Company implemented a Bitcoin retention program pursuant to which the Company has added approximately 3,301 Bitcoin to its balance sheet during the twelve months ended December 31, 2021, valued at approximately $152.9 million as of December 31,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Expansions</w:t>
      </w:r>
    </w:p>
    <w:p>
      <w:pPr>
        <w:spacing w:after="0" w:line="225"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Company has described its expansion plans below under the sections “Cowansville Expansion”, “Sherbrooke Expansion”, “Argentina Expansion”, “Paraguay Expansion” and “Washington Expansion”. The Company has set a target of reaching 8.0 EH/s by the end of 2022. The Company currently anticipates that its existing orders for Miners and the infrastructure scheduled to be completed in 2022 will be capable of producing 7.2 EH/s and continues to evaluate opportunities that will provide the additional infrastructure and Mining hardware required to reach and exceed its 8.0 EH/s target.</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estimated costs and timelines to achieve these expansion plans may change based on, among other factors, the prevailing price of Bitcoin, network difficulty, supply of cryptocurrency mining equipment, supply of electrical and other supporting infrastructure equipment, construction materials, currency exchange rates, the impact of COVID-19 on the supply chains described above and the Company’s ability to fund the initiatives. The Company’s expansion plans are reliant on a consistent supply of electricity at cost-effective rates, see the </w:t>
      </w:r>
      <w:r>
        <w:rPr>
          <w:rFonts w:ascii="Arial" w:cs="Arial" w:eastAsia="Arial" w:hAnsi="Arial"/>
          <w:sz w:val="18"/>
          <w:szCs w:val="18"/>
          <w:i w:val="1"/>
          <w:iCs w:val="1"/>
          <w:color w:val="auto"/>
        </w:rPr>
        <w:t>Economic Dependence on Regulated Terms of Service and Electricity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Rates Risks of this MD&amp;A </w:t>
      </w:r>
      <w:r>
        <w:rPr>
          <w:rFonts w:ascii="Arial" w:cs="Arial" w:eastAsia="Arial" w:hAnsi="Arial"/>
          <w:sz w:val="18"/>
          <w:szCs w:val="18"/>
          <w:color w:val="auto"/>
        </w:rPr>
        <w:t>for further details.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Cowansville Expansion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completed construction of Phase 2 at its Mining facility in Cowansville, Quebec, in Q3 2021, at a cost of approximately $3.1 million. The Phase 2 expansion replaces the original 4 MW site that was operational in 2017, with an entirely new 17 MW facility capable of accommodating approximately 4,500 new generation miners producing 450 PH/s. The buildout also includes a new repair lab and operations command center.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Sherbrooke Expansion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Bitfarms completed Phases 1 and 2 of the Sherbrooke Expansion at the de la Pointe property in 2019, representing 30 MW of electrical infrastructure. In response to complaints concerning noise at the de la Pointe property and indications from Sherbrooke municipal officials that they were reviewing applicable regulations, the Company met with community residents and city officials on several occasions during 2020 and 2021. The Company constructed a sound barrier wall at a cost of approximately $0.3 million in 2020 and invested $0.7 million to install quieter exhaust structures and fans as well as other sound mitigating measures, including real-time sound monitoring equipment and feedback channels for residents to communicate directly with the Company.</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September 2021, the Company reached an agreement with the City of Sherbrooke to gradually retire Phases 1 and 2 of the Sherbrooke Expansion. Under the agreement, the Company will reduce its consumption at the de la Pointe property to 18 MW at the earlier of the completion of 66 MW of new electrical infrastructure elsewhere in the City of Sherbrooke, or May 31, 2022. The Company will entirely relocate its operations from Phases 1 and 2 of the Sherbrooke Expansion at the earlier of the completion of 80 MW of new electrical infrastructure in the City of Sherbrooke, or February 28, 2023. In addition, the Company has the option to sell the building currently housing Phases 1 and 2 of the Sherbrooke Expansion to the City of Sherbrooke for approximately $2.4 million ($3.0 million CAD). The agreement also permits the Company to sell the building to a third party.</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-119380</wp:posOffset>
            </wp:positionV>
            <wp:extent cx="1543050" cy="4286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entered into lease agreements for two new facilities in Sherbrooke: “Leger” and “The Bunker”. These facilities will include similar sound mitigating mechanisms as were successfully installed in the de la Pointe facility. Construction in Leger is expected to be completed in one phase in the first half of 2022 with 30 MW of capacity available which can accommodate up to 8,000 new generation miners producing approximately 800 PH/s. The Bunker, representing 48 MW of capacity, is expected to be completed in three phases during 2022, and capable of accommodating 13,000 new generation miners producing approximately 1.3EH/s. Construction of the Bunker is expected to occur in three separate phases:</w:t>
      </w:r>
    </w:p>
    <w:p>
      <w:pPr>
        <w:spacing w:after="0" w:line="176" w:lineRule="exact"/>
        <w:rPr>
          <w:sz w:val="20"/>
          <w:szCs w:val="20"/>
          <w:color w:val="auto"/>
        </w:rPr>
      </w:pPr>
    </w:p>
    <w:p>
      <w:pPr>
        <w:ind w:left="660" w:hanging="328"/>
        <w:spacing w:after="0" w:line="277"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Phase one, representing 18 MW was constructed in a pre-existing building. Internal infrastructure work began in Q4 2021 with the first 12 MW becoming operational in March 2022, and the remaining 6 MW scheduled for completion in mid-2022.</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Phase two, representing 18 MW, is in a portion of the building still under construction. Internal infrastructure work has begun and is scheduled to be operational in mid-2022.</w:t>
      </w:r>
    </w:p>
    <w:p>
      <w:pPr>
        <w:spacing w:after="0" w:line="170" w:lineRule="exact"/>
        <w:rPr>
          <w:sz w:val="20"/>
          <w:szCs w:val="20"/>
          <w:color w:val="auto"/>
        </w:rPr>
      </w:pPr>
    </w:p>
    <w:p>
      <w:pPr>
        <w:ind w:left="660" w:hanging="328"/>
        <w:spacing w:after="0" w:line="277"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Phase three, representing the remaining 12 MW, is in a portion of the building that is under construction and operations are expected to commence in the second half of 2022.</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capital cost for the construction of the infrastructure for Leger and The Bunker is approximately $17-$19 million. The Company has completed Phase one of the Bunker and reached the advanced stages of development of the Leger facility, including installation of transformers, electrical distribution equipment, cooling components and leasehold improvements as well as placing orders and deposits on longer lead-time infrastructure, such as transformers, exhaust components and other materials required for the remainder of the 78MW of infrastructure build-out. As of December 31, 2021, the Company acquired $4.0 million of property, plant and equipment and placed $3.3 million of additional deposits for property plant and equipment for Leger and The Bunker. The Company plans to deploy a significant portion of its order of 48,000 MicroBT miners at these facilities, with deliveries scheduled to arrive in 2022 at an estimated cost of $80.0 to $90.0 million. The Company’s commitments in connection with its order of 48,000 MicroBT Miners are outlined in the Commitments and Liquidity Risk section of this MD&amp;A. The Company anticipates that these costs will be shared between the Leger facility and The Bunker. In March 2022, the Company acquired an existing building in Sherbrooke (“Garlock”) at a cost of approximately $1.8 million and the issuance of 25,000 common share purchase warrants to the seller featuring a two-year life and a strike price of $3.47. The Garlock property, which is expected to be completed in one phase and be operational by the first quarter of 2023, represents 18 MW of electrical infrastructure at an estimated cost of approximately $4.5 million, excluding the cost of the building. The Garlock property, combined with the Bunker and Leger properties, are intended to replace the de la Pointe Property and fully utilize the Company’s power contracts in the municipality, in accordance with the Company’s agreement with the City of Sherbrooke reached in September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Argentina Expansion</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April 2021, the Company entered into an eight-year power purchase agreement for up to 210 MW with a private Argentinian power producer. The agreement establishes that the power producer will supply the Company with power at a rate of $0.02 per kilowatt hour for the first four years, up to a maximum amount of 1,103,760 megawatt hours per year and is subject to certain adjustments, variable pricing components and conditions. The pricing on the remaining four years of the eight year energy contract will be determined by a formula that is largely dependent on natural gas prices, which have been adversely impacted by recent geopolitical events. For further details on the Company’s power purchase agreement refer to the </w:t>
      </w:r>
      <w:r>
        <w:rPr>
          <w:rFonts w:ascii="Arial" w:cs="Arial" w:eastAsia="Arial" w:hAnsi="Arial"/>
          <w:sz w:val="16"/>
          <w:szCs w:val="16"/>
          <w:i w:val="1"/>
          <w:iCs w:val="1"/>
          <w:color w:val="auto"/>
        </w:rPr>
        <w:t>Economic Dependence 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Regulated Terms of Service and Electricity Rates Risks </w:t>
      </w:r>
      <w:r>
        <w:rPr>
          <w:rFonts w:ascii="Arial" w:cs="Arial" w:eastAsia="Arial" w:hAnsi="Arial"/>
          <w:sz w:val="16"/>
          <w:szCs w:val="16"/>
          <w:color w:val="auto"/>
        </w:rPr>
        <w:t>section of this MD&amp;A. In July 2021, the Company entered into an eight-year lease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comprising annual payments of approximately $0.1 million, with the power producer to lease land within the power producer’s property for the mining facility’s construction. In September 2021, the Company entered into a contract with Proyectos y Obras Americanas S.A. (“PROA”), to provide engineering, procurement, and construction services for the Argentina facility. PROA specializes in utility-grade electrical infrastructure and civil construction with relevant expertise in the design and construction of electrical interconnections, high voltage electrical lines, and transformers needed for operations of the size of the planned Argentina facility. The Company has also engaged Dreicon S.A. as an independent engineering firm to oversee construction, quality control and project milestones for the Company’s projected buildout schedule. As of December 31, 2021, the Company has placed deposits of $8.5 million with suppliers for construction costs, acquired $0.6 million of property, plant and equipment and incurred $0.3 million of expenditures relating to design and feasibility studies. The facility, if fully developed, is expected to be developed as four separate warehouse style buildings. The first two warehouses , which are included in the capacity needed to reach the 7.2 EH/s figure described above, represent approximately 100 MW of infrastructure capacity and are expected to be completed in October and December 2022. The costs of developing the four warehouses is currently estimated to range from $55 million to $65 million, net of any expected gains on disposition of marketable securities in connection with the Company’s mechanism for funding the Argentina Expansion, as described above. All four warehouses, if built, are expected to be able to accommodate over 55,000 new generation Miners, and be capable of producing approximately 5.5 EH/s. The Company plans to deploy a significant portion of its order of 48,000 MicroBT miners at this facility, with deliveries scheduled to arrive in 2022. The Company’s commitments in connection with its order of 48,000 MicroBT Miners are outlined in the Commitments and Liquidity Risk section of this MD&amp;A.</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-119380</wp:posOffset>
            </wp:positionV>
            <wp:extent cx="1543050" cy="4286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Paraguay Expansion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2021, the Company entered into an anually renewable 10 MW power purchase agreement with a power producer in Paraguay at a current effective electricity cost of $0.036 per kilowatt hour. The Company also entered into a five-year lease agreement with the same counterparty, begninning August 1, 2021, with monthly payments of $20,000 to lease land at the existing facility and, separately, entered into a construction contract to develop the facility. The construction of the facility cost $1.1 million and was completed in December 2021 and became operational in January 2022. The facility is expected to accommodate up to 2,900 of the Company’s older generation Miners and be capable of producing approximately 120 PH/s.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Washington Expansion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November 9, 2021, the Company completed the acquisition of a facility in Washington state, consisting of 12 MW of hydro-electric power purchase agreements, an additional 12 MW of in-process applications for expanded power-purchase agreements, transformers with 17 MW of capacity, land, buildings, electrical distribution equipment and a below market lease for a 5 MW facility, expiring on November 8, 2022. The Company is currently operating 17 MW of electrical infrastructure with the majority of the Company’s Antminer S19j Pro Miners generating approximately 570 PH/s in this facility. The Company’s power supplier has provided preliminary indication that the first 6 MW of in-process applications are estimated to be energized in Q3 2022, while the remaining 6 MW of in-process applications are estimated to be energized in Q2 2024. The Company transferred approximately $23.0 million in cash and 414,508 Common shares with a value of $3.7 million on the closing date. The net identifiable assets acquired include: electrical distribution equipment valued at $7.1 million, buildings valued at $0.8 million, land valued at $0.1 million and a favourable lease valued at $1.8 million. The acquisition resulted in the Company recording goodwill of $17.0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Off-Balance Sheet Arrangements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at March 28, 2022, the Company does not have any off-balance sheet arrangements that have, or are reasonably likely to have, a current or future effect on the financial performance or financial condition of the Company including, without limitation, such considerations as liquidity and capital resources.</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-119380</wp:posOffset>
            </wp:positionV>
            <wp:extent cx="1543050" cy="4286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Share Capital</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the date of this MD&amp;A, the Company has 201,251,602 common shares outstanding, 5,938,058 vested and 6,608,675 unvested stock options, 19,427,797 warrants outstanding and 200,000 restricted stock units. There are no preferred shares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Program</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Bitfarms commenced an at-the-market (ATM) equity program on August 16, 2021, by means of a prospectus supplement dated August 16, 2021, to the Company’s short form base shelf prospectus dated August 12, 2021, and U.S. registration statement on Form-F-10, which includes the base shelf prospectus. The Company may, at its discretion and from time-to-time sell common shares of the Company as would result in the Company receiving aggregate proceeds of up to $500 million. During the three months ended December 31, 2021, the Company issued 17,593,313 common shares in exchange for gross proceeds of $113.9 million at an average share price of approximately $6.47USD. The Company received net proceeds of $110.4 million after paying commissions of $3.4 million to the Company’s agent, in addition to $0.1 million of other transaction fees.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twelve months ended December 31, 2021, the Company issued 23,922,928 common shares in exchange for gross proceeds of $150.3 million at an average share price of approximately $6.28USD. The Company received net proceeds of $145.6 million after paying commissions of $4.5 million to the Company’s agent, in addition to $0.2 million of other transaction fees.</w:t>
      </w:r>
    </w:p>
    <w:p>
      <w:pPr>
        <w:spacing w:after="0" w:line="18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has used and intends to continue to use the proceeds from the ATM equity program to support the growth and development of the Company’s Mining operations, as described under the Expansions section of this MD&amp;A, as well as for working capital and general corporate purposes. Described below are the actual use of proceeds from the commencement of the ATM equity program through December 31,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(U.S. $ in thousands except where indicated)</w:t>
            </w:r>
          </w:p>
        </w:tc>
        <w:tc>
          <w:tcPr>
            <w:tcW w:w="160" w:type="dxa"/>
            <w:vAlign w:val="bottom"/>
          </w:tcPr>
          <w:p>
            <w:pPr>
              <w:spacing w:after="0"/>
              <w:rPr>
                <w:sz w:val="20"/>
                <w:szCs w:val="20"/>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7"/>
              </w:rPr>
              <w:t>Use of</w:t>
            </w:r>
          </w:p>
        </w:tc>
        <w:tc>
          <w:tcPr>
            <w:tcW w:w="0" w:type="dxa"/>
            <w:vAlign w:val="bottom"/>
          </w:tcPr>
          <w:p>
            <w:pPr>
              <w:spacing w:after="0"/>
              <w:rPr>
                <w:sz w:val="1"/>
                <w:szCs w:val="1"/>
                <w:color w:val="auto"/>
              </w:rPr>
            </w:pPr>
          </w:p>
        </w:tc>
      </w:tr>
      <w:tr>
        <w:trPr>
          <w:trHeight w:val="198"/>
        </w:trPr>
        <w:tc>
          <w:tcPr>
            <w:tcW w:w="10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proceeds</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as of</w:t>
            </w:r>
          </w:p>
        </w:tc>
        <w:tc>
          <w:tcPr>
            <w:tcW w:w="0" w:type="dxa"/>
            <w:vAlign w:val="bottom"/>
          </w:tcPr>
          <w:p>
            <w:pPr>
              <w:spacing w:after="0"/>
              <w:rPr>
                <w:sz w:val="1"/>
                <w:szCs w:val="1"/>
                <w:color w:val="auto"/>
              </w:rPr>
            </w:pPr>
          </w:p>
        </w:tc>
      </w:tr>
      <w:tr>
        <w:trPr>
          <w:trHeight w:val="216"/>
        </w:trPr>
        <w:tc>
          <w:tcPr>
            <w:tcW w:w="10020" w:type="dxa"/>
            <w:vAlign w:val="bottom"/>
            <w:vMerge w:val="restart"/>
          </w:tcPr>
          <w:p>
            <w:pPr>
              <w:spacing w:after="0"/>
              <w:rPr>
                <w:sz w:val="20"/>
                <w:szCs w:val="20"/>
                <w:color w:val="auto"/>
              </w:rPr>
            </w:pPr>
            <w:r>
              <w:rPr>
                <w:rFonts w:ascii="Arial" w:cs="Arial" w:eastAsia="Arial" w:hAnsi="Arial"/>
                <w:sz w:val="18"/>
                <w:szCs w:val="18"/>
                <w:b w:val="1"/>
                <w:bCs w:val="1"/>
                <w:color w:val="auto"/>
              </w:rPr>
              <w:t>Categories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100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MicroBT Miners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Bitmain Miners</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15,577</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Washington Expansion</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Sherbrooke Expansion</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7,013</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Argentina Expansion</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9,395</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Cowansville Expansion</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36"/>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Paraguay Expansion</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10020"/>
        <w:spacing w:after="0"/>
        <w:tabs>
          <w:tab w:leader="none" w:pos="10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98,927</w:t>
      </w:r>
    </w:p>
    <w:p>
      <w:pPr>
        <w:spacing w:after="0" w:line="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There has been no impact on the ability of the Company to achieve its business objectives and milestones. The Company intends to continue to explore expansion opportunities in new and existing facilities, subject to market conditions and the ability to continue to obtain suitable financing.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and Risks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financial assets include cash, trade receivables, and other assets. The Company’s financial liabilities include trade payables and accrued liabilities, credit facility, and long-term debt.</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-119380</wp:posOffset>
            </wp:positionV>
            <wp:extent cx="1543050" cy="4286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543050" cy="42862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financial instruments expose it primarily to credit, counterparty, liquidity, foreign currency, concentration and custody of digital assets risks.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 and Counter Party Risk</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Credit risk and counter party risk is the risk of an unexpected loss if a third party fails to meet its contractual obligations, including cash and cash equivalents. There is a risk of suppliers of mining hardware failing to meet their contractual obligations, that may result in late deliveries or significant long-term deposits and equipment prepayments that are not realized. The Company attempts to mitigate this risk by procuring mining hardware from larger more established suppliers with whom the company has existing relationships and knowledge of their reputation in the market, as described in Note 11 of the December 31, 2021 consolidated financial statements. The Company also insures the majority of its construction deposits for the Argentina facility in order to mitigate the risk of supplier’s not meeting their contractual obligations. The risk regarding cash and cash equivalents is mitigated by holding the majority of the Company’s cash and cash equivalents through a Canadian chartered bank. The credit risk regarding trade receivables are derived mainly from sales to Volta’s third-party customers. The Company performs ongoing credit evaluations of its customers. An allowance for doubtful accounts is determined with respect to those amounts that the Company has determined to be doubtful of collection. The allowance for doubtful accounts is based on management’s assessment of a customer’s credit quality as well as subjective factors and trends, including the aging of receivable balances.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Liquidity Risk</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Liquidity risk is the risk that the Company will not be able to pay its financial obligations when they become due. The Company’s policy is to monitor its cash balances and planned cash flows generated from operations and financing activities to ensure, as far as possible, that it maintains sufficient liquidity to meet its projected financial obligations.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entered into agreements with Mining hardware manufacturers that require significant deposits in advance of receiving the revenue generating equipment. The Company may manage its capital structure by issuing equity, obtaining loan financing, adjusting capital spending, or disposing of assets in order to maintain sufficient liquidity to meet its contractual obligations with Mining hardware manufacturers.</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has deposits on Mining hardware and electrical components in the amount of $83.1 million. These deposits are mainly for orders placed on 48,000 Whatsminer miners and 1,200 Antminers with expected delivery in 2022. The table below outlines the Company’s remaining payment obligations in connection with the 48,000-unit and 1,200 Antminer purchase agreements described above, presented in thousands of U.S. dollars:</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ending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ending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Three months ending September 30, 2022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ending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December 31,</w:t>
      </w:r>
    </w:p>
    <w:p>
      <w:pPr>
        <w:spacing w:after="0" w:line="6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2021</w:t>
      </w:r>
    </w:p>
    <w:p>
      <w:pPr>
        <w:spacing w:after="0" w:line="40" w:lineRule="exact"/>
        <w:rPr>
          <w:sz w:val="20"/>
          <w:szCs w:val="20"/>
          <w:color w:val="auto"/>
        </w:rPr>
      </w:pPr>
    </w:p>
    <w:p>
      <w:pPr>
        <w:ind w:left="620" w:hanging="615"/>
        <w:spacing w:after="0"/>
        <w:tabs>
          <w:tab w:leader="none" w:pos="6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45,642</w:t>
      </w:r>
    </w:p>
    <w:p>
      <w:pPr>
        <w:spacing w:after="0" w:line="46"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44,239</w:t>
      </w:r>
    </w:p>
    <w:p>
      <w:pPr>
        <w:spacing w:after="0" w:line="32"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28,391</w:t>
      </w:r>
    </w:p>
    <w:p>
      <w:pPr>
        <w:spacing w:after="0" w:line="32"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13,890</w:t>
      </w:r>
    </w:p>
    <w:p>
      <w:pPr>
        <w:spacing w:after="0" w:line="58" w:lineRule="exact"/>
        <w:rPr>
          <w:sz w:val="20"/>
          <w:szCs w:val="20"/>
          <w:color w:val="auto"/>
        </w:rPr>
      </w:pPr>
    </w:p>
    <w:p>
      <w:pPr>
        <w:ind w:left="520" w:hanging="515"/>
        <w:spacing w:after="0"/>
        <w:tabs>
          <w:tab w:leader="none" w:pos="5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132,162</w:t>
      </w:r>
    </w:p>
    <w:p>
      <w:pPr>
        <w:spacing w:after="0" w:line="200" w:lineRule="exact"/>
        <w:rPr>
          <w:sz w:val="20"/>
          <w:szCs w:val="20"/>
          <w:color w:val="auto"/>
        </w:rPr>
      </w:pPr>
    </w:p>
    <w:p>
      <w:pPr>
        <w:sectPr>
          <w:pgSz w:w="11900" w:h="16838" w:orient="portrait"/>
          <w:cols w:equalWidth="0" w:num="2">
            <w:col w:w="9300" w:space="720"/>
            <w:col w:w="1220"/>
          </w:cols>
          <w:pgMar w:left="320" w:top="904" w:right="339" w:bottom="1440" w:gutter="0" w:footer="0" w:header="0"/>
          <w:type w:val="continuous"/>
        </w:sectPr>
      </w:pP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will require additional sources of financing to meet the payment obligations included in the table above. While the Company believes it has sufficient liquidity, based on current Bitcoin prices, to meet these and other ongoing payment obligations it anticipates securing additional sources of financing. If the Company were unable to obtain such financing, or if the Bitcoin price and network difficulty adversely impacted the Company’s liquidity, then the Company may have difficulty meeting its payment obligations. If the Company were unable to meet its payment obligations, there could result in the loss of equipment prepayments and deposits paid by the Company under the purchase agreement and remedial legal measures taken against the Company which may include damages and forced continuance of the contractual arrangement. Under these circumstances, the Company’s growth plans and ongoing operations could be adversely impacted.</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5797550</wp:posOffset>
            </wp:positionH>
            <wp:positionV relativeFrom="page">
              <wp:posOffset>586105</wp:posOffset>
            </wp:positionV>
            <wp:extent cx="1543050" cy="4286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28625"/>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observed high demand and supply constraints for Mining hardware in recent periods. In order to meet its growth objectives, the Company may enter into additional contracts for Mining hardware that may require significant additional deposits and fixed contractual payments. These contracts would be subject to risks that are similar to the Company’s existing contracts, mainly with respect to the Company’s liquidity and ability to meet its payment obligations as well as counterparty risks, including delays in delivery and deposits that may not be realized.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 liabilities includes financial obligations with contractual maturities, inclusive of interest, presented in thousands of U.S. dollars as of December 31, 2021,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020" w:type="dxa"/>
            <w:vAlign w:val="bottom"/>
          </w:tcPr>
          <w:p>
            <w:pPr>
              <w:spacing w:after="0"/>
              <w:rPr>
                <w:sz w:val="19"/>
                <w:szCs w:val="19"/>
                <w:color w:val="auto"/>
              </w:rPr>
            </w:pPr>
          </w:p>
        </w:tc>
        <w:tc>
          <w:tcPr>
            <w:tcW w:w="1220" w:type="dxa"/>
            <w:vAlign w:val="bottom"/>
            <w:gridSpan w:val="4"/>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100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10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6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2,553</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6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1,692</w:t>
            </w:r>
          </w:p>
        </w:tc>
        <w:tc>
          <w:tcPr>
            <w:tcW w:w="80" w:type="dxa"/>
            <w:vAlign w:val="bottom"/>
          </w:tcPr>
          <w:p>
            <w:pPr>
              <w:spacing w:after="0"/>
              <w:rPr>
                <w:sz w:val="18"/>
                <w:szCs w:val="18"/>
                <w:color w:val="auto"/>
              </w:rPr>
            </w:pPr>
          </w:p>
        </w:tc>
      </w:tr>
      <w:tr>
        <w:trPr>
          <w:trHeight w:val="250"/>
        </w:trPr>
        <w:tc>
          <w:tcPr>
            <w:tcW w:w="10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2026 and thereafter</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6,023</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17,519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Long-term debt, includes financial obligations with contractual maturities, inclusive of interest on long-term debt, and the Company’s revolving credit facility, presented in thousands of U.S. dollars as of December 31, 2021,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19"/>
                <w:szCs w:val="19"/>
                <w:color w:val="auto"/>
              </w:rPr>
            </w:pPr>
          </w:p>
        </w:tc>
        <w:tc>
          <w:tcPr>
            <w:tcW w:w="1220" w:type="dxa"/>
            <w:vAlign w:val="bottom"/>
            <w:gridSpan w:val="4"/>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100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10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6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896</w:t>
            </w:r>
          </w:p>
        </w:tc>
        <w:tc>
          <w:tcPr>
            <w:tcW w:w="80" w:type="dxa"/>
            <w:vAlign w:val="bottom"/>
          </w:tcPr>
          <w:p>
            <w:pPr>
              <w:spacing w:after="0"/>
              <w:rPr>
                <w:sz w:val="18"/>
                <w:szCs w:val="18"/>
                <w:color w:val="auto"/>
              </w:rPr>
            </w:pPr>
          </w:p>
        </w:tc>
      </w:tr>
      <w:tr>
        <w:trPr>
          <w:trHeight w:val="250"/>
        </w:trPr>
        <w:tc>
          <w:tcPr>
            <w:tcW w:w="10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2024 and thereafter</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74,886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both"/>
        <w:ind w:left="20" w:hanging="4"/>
        <w:spacing w:after="0" w:line="273" w:lineRule="auto"/>
        <w:rPr>
          <w:sz w:val="20"/>
          <w:szCs w:val="20"/>
          <w:color w:val="auto"/>
        </w:rPr>
      </w:pPr>
      <w:r>
        <w:rPr>
          <w:rFonts w:ascii="Arial" w:cs="Arial" w:eastAsia="Arial" w:hAnsi="Arial"/>
          <w:sz w:val="17"/>
          <w:szCs w:val="17"/>
          <w:color w:val="auto"/>
        </w:rPr>
        <w:t>The Company’s credit facility, with an outstanding balance of $60.0 million as of December 31, 2021, is secured by Bitcoin, with the minimum value of Bitcoin pledged as collateral calculated as 143% of the amount borrowed. The Company is required to contribute additional collateral to the Lender any time the value of the Bitcoin pledged as collateral is below 133% of the amount borrowed. The Company also has the right to require the Lender to return any Bitcoin when the value of the Bitcoin pledged as collateral exceeds 143% of the amount borrowed. A substantial decrease in Bitcoin price may result in the Company being unable to meet the minimum Bitcoin collateral requirements, which could result in the disposition of the Company’s Bitcoin pledged as collateral by the Lender, or repayment of the facility in fiat currency on demand.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exposed to fluctuations in currency exchange rates, which could negatively affect its financial condition and results of operations. Exchange rate fluctuations may affect the costs that the Company incurs in its operations. Cryptocurrencies are generally sold in U.S. dollars and the Company’s costs with respect to its Canadian and Argentine operations are incurred principally in Canadian dollars and the Argentine Peso. The appreciation of non-U.S. dollar currencies against the U.S. dollar could increase the cost of Mining and the Company’s Expansions in U.S. dollar terms. In addition, the Company holds cash balances in U.S. dollars, Canadian dollars and Argentine Pesos, the values of which are impacted by fluctuations in currency exchange rates. In particular, the Company expects to hold cash and significant value-added tax receivable in Argentine Pesos. Historically, the Argentina Peso has devalued significantly when compared to the U.S. dollar due to high levels of inflation in Argentina, which may result in the Company incurring future foreign exchange losses on its Argentine Peso denominated balances.</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5797550</wp:posOffset>
            </wp:positionH>
            <wp:positionV relativeFrom="page">
              <wp:posOffset>586105</wp:posOffset>
            </wp:positionV>
            <wp:extent cx="1543050" cy="4286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28625"/>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risk</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Concentration risk arises as a result of the concentration of exposures within the same category, whether it is geographical location, product type, industry sector or counterparty type. The Company is primarily engaged in the cryptocurrency mining industry that is a highly volatile market with significant inherent risk. The Company also holds a significant portion of its working capital in Bitcoin and has a revolving credit facility collateralized by Bitcoin and subject to margin calls. A significant decline in the market prices of cryptocurrencies, an increase in the difficulty of cryptocurrency mining, changes in the regulatory environment and adverse changes in other inherent risks can significantly negatively impact the Company’s operations and the carrying value of its assets. The Company does not currently hedge the conversion of cryptocurrencies to fiat currency.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Custody of digital assets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crypto assets, currently Bitcoin, is mined to multi-signature wallets that the Company controls. On a regular basis, the Company transfers Bitcoin from its multi-signature wallets to an external third-party custodian, Coinbase Custody, LLC (“Coinbase Custody”). Coinbase Custody is a US based fiduciary and qualified custodian under New York Banking Law and is licensed by the State of New York to custody digital assets. Currently, Coinbase Custody provides only custodial services to the Company and does not use a sub-custodian. Coinbase Custody is not a related party to the Company. Coinbase Custody is a fiduciary of § 100 of the New York Banking Law and is licensed to custody its clients’ digital assets in trust on their behalf. Coinbase Custody is a qualified custodian for purposes of § 206 (4) -2(d)(6) of the Advisers Act.</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early January 2021, the Company implemented a Bitcoin retention program, pursuant to which the Company has added approximately 5,169 Bitcoin valued at $231.6 million to its balance sheet as of March 25, 2022. As of the date of this MD&amp;A, 99% of the Company’s Bitcoin are held in custody with Coinbase Custody or held as collateral within Coinbase Custody by Galaxy Digital LLC the counterparty to the Company’s revolving credit facility.</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Coinbase Custody maintains an insurance policy of $320 million for its cold storage, however, the Company cannot ensure that the limits of this policy would be available to the Company or, if available, sufficient to make the Company whole for any Bitcoins that are lost or stolen. The Company is unaware of: (i) any security breaches involving Coinbase Custody which have resulted in the Company’s crypto assets being lost or stolen, and (ii) anything with regards to Coinbase Custody’s operations that would adversely affect the Company’s ability to obtain an unqualified audit opinion on its audited financial statements. The Bitcoin for which Coinbase Custody provides custodial services to the Company do not change title and remain as assets on the Company’s balance sheet, including in the event that Coinbase Custody were to go bankrupt or become insolvent. Regardless of efforts made by the Company to securely store and safeguard assets, there can be no assurance that the Company’s cryptocurrency assets will not be defalcated through hacking or other forms of theft.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Other Risks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discussion summarizes the principal risk factors that apply to the Company’s business and that may have a material adverse effect on the Company’s business and financial condition and results of operations, or the trading price of the Company’s shares. Due to the nature of the Company’s business, the legal and economic climate in which it operates and its present stage of development and proposed operations, the Company is subject to significant risks. These risk factors are not a definitive list of all risk factors associated with an investment in the Company or in connection with its operations. Additional risk and uncertainties not presently known to the Company, or that are currently deemed immaterial, may also impair operations. If any such risks actually occur, the financial condition, liquidity and results of operations of the Company could be materially adversely affected.</w:t>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5797550</wp:posOffset>
            </wp:positionH>
            <wp:positionV relativeFrom="page">
              <wp:posOffset>586105</wp:posOffset>
            </wp:positionV>
            <wp:extent cx="1543050" cy="4286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28625"/>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Bitcoin Halving Event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2020, the Bitcoin Block Reward decreased from 12.5 to 6.25 Bitcoins per block (the “Bitcoin Halving”), and consequently the number of new Bitcoin issued to miners has been reduced to approximately 900 per day, excluding transaction fees.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May 2020 Bitcoin Halving had a significant negative impact on the Company’s profitability for several months following the Bitcoin Halving. Given that profitability is required for self-acting agents to perform Mining to continue to support the validation of transactions, the expected impact of the Bitcoin Halving is that market variables of Bitcoin price will adjust over time to ensure that Mining remains profitable. The period of market normalization after the next Bitcoin Halving to incentivizing profitability levels is unknown.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believes that revenue per Terahash will continue to normalize to levels that would allow Miners with competitive electricity pricing, sufficient scale of efficient Mining operations, recent generation Mining hardware and access to capital to remain profitable. If Bitcoin price and difficulty do not maintain or continue their trend of adjusting to pre-Bitcoin Halving profitability levels over time, or the period of market normalization after the Bitcoin Halving to pre-Bitcoin Halving profitability levels is too long, there is a risk that the Bitcoin Halving will render the Company unprofitable for a sustained time period such that it could be unable to continue as a going concern.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next Bitcoin Halving is expected to occur in or around May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the World Health Organization declared COVID-19 a pandemic. The global response to the pandemic is constantly evolving, including various measures implemented at the global, national, provincial and local levels. The major impacts that COVID-19 is expected to have on the Company include potential increases in cryptocurrency price volatility and delays in receiving future orders of mining hardware and electrical components for future expansion. The Company has been, and is expected to, continue operating throughout the pandemic.</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duration and impact of the COVID-19 outbreak is unknown at this time, as is the efficacy of the government interventions. It is not possible to reliably estimate the length and severity of these developments as well as the impact on the financial results and condition of the Company and its operating subsidiaries in future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Service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ability to make scheduled payments on, or refinance its debt obligations, depends on its financial condition and operating performance, which are subject to a number of factors beyond its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Capital Needs, Uncertainty of Additional Financing and Dilution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ability of the Company to secure any required financing to sustain operations and expansion plans will depend in part upon prevailing capital market conditions and business success. There can be no assurance that the Company will be successful in its efforts to secure any additional financing or additional financing on terms satisfactory to management.</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5797550</wp:posOffset>
            </wp:positionH>
            <wp:positionV relativeFrom="page">
              <wp:posOffset>586105</wp:posOffset>
            </wp:positionV>
            <wp:extent cx="1543050" cy="4286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28625"/>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currently anticipates that the internally generated funds will be sufficient for working capital requirements. However, the Company will need to raise additional funds in order to support more rapid expansion, develop new or enhanced services and products, respond to competitive pressures, acquire complementary businesses or technologies or take advantage of unanticipated opportunities. The Company may be required to raise additional funds through public or private financing, strategic relationships or other arrangements. There can be no assurance that such additional funding, if needed, will be available on terms attractive to the Company, or at all. Even if such funding is available, the Company cannot predict the size of future issues of common shares or securities convertible into common shares or the effect, if any, that future issues and sales of the common shares will have on the price of the shares.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any additional equity financing may be dilutive to shareholders and debt financing, if available, may involve restrictive covenants. If additional funds are raised through the issuance of equity securities, the percentage ownership of the shareholders of the Company will be reduced, shareholders may experience additional dilution in net book value per share, or such equity securities may have rights, preferences or privileges senior to those of the holders of the common shares. If adequate funds are not available on acceptable terms the Company may be unable to develop or enhance its business, take advantage of future opportunities or respond to competitive pressures, any of which could have a material adverse effect on the Company’s business, financial condition and operating results.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agreements governing the Company’s credit facilities contained restrictive covenants that could have limited its discretion with respect to certain business matters.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Limited Operating History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only a limited operating history upon which an evaluation of the Company and its prospects can be based. The Company is subject to many risks common to venture enterprises, including under-capitalization, potential cash shortages, limitations with respect to personnel, financial and other resources and the lack of revenues. There is no assurance that the Company will be successful in achieving a return on shareholders’ investment or meeting other metrics of success.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dependent on earnings from operations for substantially all of its working capital needs, and there is no assurance that additional funding will be available to it for further development and growth. There can be no assurance that the Company will be able to obtain adequate financing in the future or that the terms of such financing will be favorable.</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incurs substantial expenses in the establishment and operation of its business. A significant portion of the Company’s financial resources have been and will continue to be, directed to the development of its business and related activities. The success of the Company will ultimately depend on its ability to generate cash from its business. There is no assurance that the required funds will be available for future expansion of the Company’s business. If the Company does not have access to the required funds to continue the operation and development of its business and operational activities, and to the extent that it does not generate cash flow and income, the Company’s long-term viability may be materially and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Price Fluctuations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recent years, the securities markets have experienced a high level of price and volume volatility, and the market price of securities of many companies, particularly those considered development stage companies (such as the Company), have experienced wide fluctuations in price which have not necessarily been related to the operating performance, underlying asset values or prospects of such companies. There can be no assurance that continued fluctuations in price will not occur.</w:t>
      </w:r>
    </w:p>
    <w:p>
      <w:pPr>
        <w:spacing w:after="0" w:line="200" w:lineRule="exact"/>
        <w:rPr>
          <w:sz w:val="20"/>
          <w:szCs w:val="20"/>
          <w:color w:val="auto"/>
        </w:rPr>
      </w:pPr>
    </w:p>
    <w:p>
      <w:pPr>
        <w:spacing w:after="0" w:line="203"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5797550</wp:posOffset>
            </wp:positionH>
            <wp:positionV relativeFrom="page">
              <wp:posOffset>586105</wp:posOffset>
            </wp:positionV>
            <wp:extent cx="1543050" cy="4286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28625"/>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Growth</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recently experienced, and may continue to experience, rapid growth in the scope of its operations. This growth has resulted in increased responsibilities for the Company’s existing personnel, the hiring of additional personnel and, in general, higher levels of operating expenses. In order to manage its current operations and any future growth effectively, the Company will need to continue to implement and improve its operational, financial and management information systems, as well as hire, manage and retain its employees and maintain its corporate culture including technical and service standards. There can be no assurance that the Company will be able to manage such growth effectively or that its management, personnel, or systems will be adequate to support the Company’s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Cybersecurity Threats and Hacking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Malicious actors may seek to exploit vulnerabilities within cryptocurrency programming codes. Several errors and defects have been found and corrected, including those that disabled some functionality for users and exposed users’ information. Discovery of flaws in or exploitations of the source code that allow malicious actors to take or create cryptocurrency or money occur somewhat regularly. For example, hackers have been able to gain unauthorized access to digital wallets and cryptocurrency exchanges.</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computer network operated by the Company may further be vulnerable to intrusions by hackers who could interfere with and introduce defects to the mining operation. Private keys which enable holders to transfer funds may also be lost or stolen, resulting in irreversible losses of cryptocurrencies.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Limited History of De-Centralized Financial System</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Compared with traditional and existing centralized financial systems, the cryptocurrency financial system is relatively new and has only limited history. Online cryptocurrency exchanges and trades therein operate with comparatively little regulation and are particularly liable to platform failures and fraudulent activities, which may have an effect on underlying prices of cryptocurrencies. In fact, many of the largest online cryptocurrency exchanges have been compromised by hackers.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Traditional banks and banking services may limit or refuse the provision of banking services to businesses that supply cryptocurrencies as payment and may refuse to accept money derived from cryptocurrency-related businesses. This may make management of bank accounts held by companies operating in the field difficult.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Shareholder Risk</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officers and directors of the Company beneficially own 18,731,890 of the issued and outstanding common shares representing almost 9% of the issued and outstanding common shares. By virtue of their status as the principal shareholders of the Company, and by being directors and officers of the Company, they have the power to exercise significant influence over all matters requiring shareholder approval, including the election of directors, amendments to the Company’s articles and by-laws, mergers, business combinations and the sale of substantially all of the Company’s assets. As a result, the Company could be prevented from entering into transactions that could be beneficial to the Company or its other shareholders. Also, third parties could be discouraged from making a take-over bid. As well, sales by the significant shareholders of a substantial number of could cause the market price of such shares to decline.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Related to Technological Obsolescence and Difficulty in Obtaining Hardware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remain competitive, the Company will continue to monitor the state of the technology available and invest in hardware and equipment required for maintaining its operations. The Company’s hardware and software may become obsolete and require substantial capital to replace. There can be no assurance that mining hardware will be readily available when the need is identified. Moreover, there can be no assurance that new and unforeseeable technology, either hardware-based or software-based, will not disrupt the existing cryptocurrency industry. For example, the arrival of quantum computers, which are capable of solving certain types of mathematical problems fundamental to cryptocurrency more quickly and efficiently than traditional computers may have a significant effect on the cryptocurrency industry.</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5797550</wp:posOffset>
            </wp:positionH>
            <wp:positionV relativeFrom="page">
              <wp:posOffset>586105</wp:posOffset>
            </wp:positionV>
            <wp:extent cx="1543050" cy="4286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28625"/>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Price Volatility of Cryptocurrencies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profitability of the Company’s operations will be significantly affected by changes in prices of cryptocurrencies. Cryptocurrency prices are highly volatile, can fluctuate substantially and are affected by numerous factors beyond the Company’s control, including hacking, demand, regulation, inflation and expectations with respect to the rate of inflation, global or regional political or economic events. If cryptocurrency prices should decline and remain at low market levels for a sustained period while network difficulty does not decrease proportionally, the Company could determine that it is not economically feasible to continue activities.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Cryptocurrencies may be subject to momentum pricing, which is typically associated with growth stocks and other assets whose valuation, as determined by the investing public, accounts for anticipated future appreciation in value. Cryptocurrency market prices are determined primarily using data from various exchanges, over-the-counter markets, and derivative platforms. Momentum pricing may have resulted, and may continue to result, in speculation regarding future appreciation in the value of cryptocurrencies, inflating and making their market prices more volatile. As a result, they may be more likely to fluctuate in value due to changing investor confidence in future appreciation (or depreciation) in their market prices, which could adversely affect the value proposition of the Company.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Volatility may have an impact on the value of the Company’s inventory of currencies and could result in margin calls on the Company’s credit facility as described in the financial instruments and risks section of this MD&amp;A.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Cryptocurrency Network Difficulty and Impact of Increased Global Computing Power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Network difficulty is a measure of how difficult it is to solve the cryptographic hash that is required to validate a block of transactions and earn a cryptocurrency reward from Mining. If the network difficulty increased at a significantly higher rate than the Company’s hashrate and the price of cryptocurrency did not increase at the same rate as network difficulty, then the profitability of the Company’s operations would be significantly affected. There can be no assurance that cryptocurrency prices will increase in proportion to the rate of increase of network difficulty as network difficulty is subject to volatility in growth.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Dependence on Regulated Terms of Service and Electricity Rates Risks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operations are dependent on its ability to maintain reliable and economical sources of power to run its cryptocurrency mining assets. The Company conducts Mining in the Province of Québec, Washington State and Paraguay and expects to conduct Mining in Argentina. The Company’s current and future operations, anticipated growth, and sustainability of hydroelectricity and natural gas at economical prices for the purposes of cryptocurrency mining in multiple locations poses certain risks. These risks as well as the supply of electrical power, electricity rates, terms of service and regulatory regime are summarized as follows: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Currently the Company sources its energy from Hydro-Québec, Hydro-Sherbrooke, Hydro-Magog, Grant PUD and CLYFSA. The Province of Québec mandates electrical service providers to supply their customers under an obligation to serve power delivery regime; consequently, the Company believes these power suppliers are reliable. Grant PUD and CLYFSA do not operate under highly regulated regimes, like the Province of Quebec. Any suspension of power or failure of electrical networks, however, could result in a material adverse effect on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Quebec</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price of electricity supplied directly by Hydro-Québec is set by a provincial administrative tribunal, the Régie. Hydro-Québec supplies power to certain of the Company’s facilities, and to the Municipal Electrical Networks for the Magog and Sherbrooke server farms, under an obligation to serve power delivery regime. The rates imposed on Hydro-Québec by the Régie are subject to change. There are no long-term arrangements. Although power is supplied by the Municipal Networks to the Company under the long-term power contracts, the rates in those contracts are adjusted in response to tariff changes imposed by the Régie. Accordingly, there is no assurance that future electricity rates will remain stable or economical. Accordingly, there is no assurance that future electricity rates will remain stable or economical. In particular, on June 14, 2018, Hydro-Québec requested the Régie to set rates and service conditions specifically for enterprises involved in cryptocurrency mining as a result of increased electricity demand from cryptocurrency miners. The Régie has undertaken regulatory proceedings to establish a framework for the provision of electricity for cryptocurrency mining in Québec in three Phases:</w:t>
      </w:r>
    </w:p>
    <w:p>
      <w:pPr>
        <w:spacing w:after="0" w:line="196" w:lineRule="exact"/>
        <w:rPr>
          <w:sz w:val="20"/>
          <w:szCs w:val="20"/>
          <w:color w:val="auto"/>
        </w:rPr>
      </w:pPr>
    </w:p>
    <w:p>
      <w:pPr>
        <w:jc w:val="both"/>
        <w:ind w:left="660" w:hanging="328"/>
        <w:spacing w:after="0" w:line="301" w:lineRule="auto"/>
        <w:tabs>
          <w:tab w:leader="none" w:pos="6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Phase 1: On July 13, 2018, the Régie provisionally ordered that a new tariff be established for cryptocurrency miners and on July 19, 2018, the Régie approved a provisional tariff of CAD$0.15/kWh on cryptocurrency mining facilities built after that date. Under Phase 1, the new tariff cannot be applied to any cryptocurrency contracts entered into prior to June 7, 2018 or facilities constructed prior to July 19, 2018. Therefore, Phase 1 is not expected to have an impact on Backbone’s pre-existing operations and secures existing rates until the completion of Phase 3.</w:t>
      </w: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5797550</wp:posOffset>
            </wp:positionH>
            <wp:positionV relativeFrom="page">
              <wp:posOffset>586105</wp:posOffset>
            </wp:positionV>
            <wp:extent cx="1543050" cy="4286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28625"/>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11" w:lineRule="exact"/>
        <w:rPr>
          <w:sz w:val="20"/>
          <w:szCs w:val="20"/>
          <w:color w:val="auto"/>
        </w:rPr>
      </w:pPr>
    </w:p>
    <w:p>
      <w:pPr>
        <w:jc w:val="both"/>
        <w:ind w:left="660" w:hanging="328"/>
        <w:spacing w:after="0" w:line="285" w:lineRule="auto"/>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Phase 2: On April 29, 2019, the Régie rendered its decision on Phase 2 of the request filed by Hydro-Québec. The Régie decided to create a new class of energy consumers called Electricity consumer class for cryptographic use applied to blockchain. It decided to allocate to this new class an aggregate supply of 300 megawatts of electricity, with the requirement to curtail electricity use during peak hours at Hydro-Québec’s request (up to a maximum of 300 hours a year). Cryptocurrency mining projects will be required to submit tenders to consume electricity from the 300 megawatt block based exclusively on economic development and environmental criteria. The Régie rejected Hydro-Québec’s proposal to launch a tariff auction as part of the call for tenders and determined that the applicable tariff of the energy component, in ¢/kWh, will correspond to the M or LG tariff in force, as the case may be. In order for the Company to be able to procure electricity for future Quebec expansion projects (excluding those currently planned by the Company such as the Sherbrooke Expansion), it will be required to participate to the call for tenders process which is expected to launch shortly by Hydro-Québec. However, the Régie’s decision also means that the Company’s pre-existing operations at the Current Facilities and Sherbrooke Expansion will remain subject to the M or LG tariff in force, as the case may be, and they are exempt from the tender process as well as the provisional tariff of CAD$0.15/kWh which had been requested by Hydro-Québec. The provisional tariff will apply to energy consumption not authorized under cryptocurrency contracts, to those cryptocurrency contracts entered into after June 7, 2018 and to any substitution of use or any increase of capacity for crypto miners not already under authorized cryptocurrency contracts. The decision of the Régie does impose the potential requirement to curtail electricity use (of up to 95%) during peak hours at Hydro-Québec’s request (up to a maximum of 300 hours a year) under all cryptocurrency contracts including those at the Company’s pre-existing operations at the Current Facilities. A shut down of 95% of operations for the maximum of 300 hours could result in a revenue decrease of approximately 3.4%.</w:t>
      </w:r>
    </w:p>
    <w:p>
      <w:pPr>
        <w:spacing w:after="0" w:line="176"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Phase 3: On January 28, 2021, the Régie rendered its decision on Phase 3 of the request filed by Hydro-Québec. The Régie decided that the existing subscriptions on the Hydro-Québec network will be subject to non-firm service, starting in Winter 2021-2022. The non-firm service will apply for a maximum of 300 hours/year, without any monetary compensation. In considering the financial consequences of this conclusion the Régie requested that Hydro-Québec implement the non-firm service for existing clients during a three-year period through progressive implementation. The Régie did not provide any guidance to Hydro-Québec on how to proceed. The Régie provided the following reasons to justify this conclusion:</w:t>
      </w:r>
    </w:p>
    <w:p>
      <w:pPr>
        <w:spacing w:after="0" w:line="192"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existing clients, such as Bitfarms Canada, have already executed agreements with municipal electricity networks with non-firm service (without financial compensation) for at least 300 hours per year;</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new clients entering the market through the call for tenders process will be subject to non-firm service, without financial compensation. The treatment of those new clients must be fair and equitable with existing clients; and</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load shedding for 300 hours represents only 3.4% of the 8,760 hours in a year. The Régie does not consider this request unreasonable considering the risks that cryptocurrency clients represent for Hydro-Québec.</w:t>
      </w:r>
    </w:p>
    <w:p>
      <w:pPr>
        <w:spacing w:after="0" w:line="170" w:lineRule="exact"/>
        <w:rPr>
          <w:sz w:val="20"/>
          <w:szCs w:val="20"/>
          <w:color w:val="auto"/>
        </w:rPr>
      </w:pPr>
    </w:p>
    <w:p>
      <w:pPr>
        <w:ind w:left="980"/>
        <w:spacing w:after="0" w:line="342" w:lineRule="auto"/>
        <w:rPr>
          <w:sz w:val="20"/>
          <w:szCs w:val="20"/>
          <w:color w:val="auto"/>
        </w:rPr>
      </w:pPr>
      <w:r>
        <w:rPr>
          <w:rFonts w:ascii="Arial" w:cs="Arial" w:eastAsia="Arial" w:hAnsi="Arial"/>
          <w:sz w:val="16"/>
          <w:szCs w:val="16"/>
          <w:color w:val="auto"/>
        </w:rPr>
        <w:t>In accordance with the Phase 3 decision, it is presently anticipated that Bitfarms Canada’s operations will continue on a non-firm service basis for at least 300 hours per year. Bitfarms Canada has undertaken a challenge to the Phase 3 decision through an administrative review process.</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5797550</wp:posOffset>
            </wp:positionH>
            <wp:positionV relativeFrom="page">
              <wp:posOffset>586105</wp:posOffset>
            </wp:positionV>
            <wp:extent cx="1543050" cy="4286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28625"/>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11" w:lineRule="exact"/>
        <w:rPr>
          <w:sz w:val="20"/>
          <w:szCs w:val="20"/>
          <w:color w:val="auto"/>
        </w:rPr>
      </w:pPr>
    </w:p>
    <w:p>
      <w:pPr>
        <w:jc w:val="both"/>
        <w:ind w:left="660" w:hanging="328"/>
        <w:spacing w:after="0" w:line="254"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Electricity supplied by Hydro-Québec and the Municipal Electrical Networks may be set at Preferential Rates in an effort to encourage investment and development in particular regions. Hydro-Québec and Municipal Electrical Networks may offer a discretionary Preferential Rate to certain customers, such rate being lower than the rate set by the Régie, notwithstanding that Hydro-Québec and the Municipal Electric Networks may suffer a financial loss on the supply of electricity to those customers. If a Preferential Rate is changed or no longer available to Backbone, the Company’s operations and profitability may experience a material adverse effect. In addition, although power is supplied by the Municipal Networks to Backbone under the long-term power contracts, the rates in those contracts are adjusted in response to tariff changes imposed by the Régie.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Washington state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November 9, 2021, the Company completed the acquisition of a cryptocurrency mining facility in Washington state. The facility is powered by the Grant County Power Utility District (“Grant PUD”). Grant PUD was established in 1938 and is a public utility district that owns and operates hydroelectric plants capable of producing more than 2,000 MW of electricity. Grant PUD establishes rate schedules for different categories of customers at the discretion of its publicly-elected Board of Commissioners. The rate schedules that may apply to the Company could be Schedule 7, which applies to consumption up to 5 MW, Schedule 14, which applies for consumption of 5 MW to 15 MW, or schedule 15, which applies to consumption of greater than 15 MW. The Company operates its cryptocurrency mining activities in several different buildings with their own power meters. The Company is currently classified in Schedule 7; however, this may change if Grant PUD were to consider the Company’s power consumption from all of the meters in aggregate, or if the Company adjusts its power consumption and falls under a different threshold. The Company expects its rate classification to change to Schedule 14 as it increases its power consumption in connection with its in-process power applications. Effective March 1, 2021, Grant PUD’s commissioners authorized the removal of cryptocurrency mining from the Evolving Industry Classification. The applicable rates that may apply to Backbone Mining are summarized as follows:</w:t>
      </w:r>
    </w:p>
    <w:p>
      <w:pPr>
        <w:spacing w:after="0" w:line="182" w:lineRule="exact"/>
        <w:rPr>
          <w:sz w:val="20"/>
          <w:szCs w:val="20"/>
          <w:color w:val="auto"/>
        </w:rPr>
      </w:pPr>
    </w:p>
    <w:p>
      <w:pPr>
        <w:ind w:left="660" w:hanging="328"/>
        <w:spacing w:after="0" w:line="258"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Evolving Industry Classification provides for $30 per kW of billing demand plus a variable component of USD 0.389¢ per KwH of consumption.</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applicable rates for Schedule 7 are a demand charge of $4.96 per kW of billing demand plus a variable component of USD 2.1¢ per kWh for the first 50,000 kWh of consumption and USD 1.857¢ per additional kWh of consumption.</w:t>
      </w:r>
    </w:p>
    <w:p>
      <w:pPr>
        <w:ind w:left="660" w:hanging="328"/>
        <w:spacing w:after="0" w:line="250"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applicable rates for Schedule 14 are a demand charge of $5.12 per kW of billing demand plus a variable component of USD 2.015¢ per kWh for the first 7,300,000 kWh of consumption and USD 3.250¢ per additional kWh of consumption.</w:t>
      </w:r>
    </w:p>
    <w:p>
      <w:pPr>
        <w:jc w:val="both"/>
        <w:ind w:left="660" w:hanging="328"/>
        <w:spacing w:after="0" w:line="255"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applicable rates for Schedule 15 are a demand charge of $5.68 per kW of billing demand plus a variable component of USD 2.552¢ per kWh for the first 10,950,000 kWh of consumption, USD 2.909¢ per kWh from 10,950,001 to 21,900,000 kWh of consumption and USD 3.044¢ per kWh greater than 21,900,000.</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Grant PUD may adjust the rate pricing with approval from its Board of Commissioners. Historically, rates for Schedule 7, Schedule 14 and Schedule 15 have increased by an annual average of 1.27%, 4.97% and 0.57% from 2016-2018, respectively. An increase in the rates applicable to Backbone Mining’s electricity consumption may adversely impact its profitability.</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5797550</wp:posOffset>
            </wp:positionH>
            <wp:positionV relativeFrom="page">
              <wp:posOffset>586105</wp:posOffset>
            </wp:positionV>
            <wp:extent cx="1543050" cy="4286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28625"/>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Paraguay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2021, the Company completed the construction of a 10 MW facility in Paraguay (Villarica). The facility is powered by Compañia de Luz y Fuerza S.A. (“CLYFSA”). CLYFSA is the first private energy distribution company in Paraguay which purchases energy from ANDE (“Admistraction Nacional de Electricidad”), the operator of Paraguay’s national electricity grid, and provides power to almost 15,000 residential and commercial customers in Villarica.</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 power purchase agreement with CLYFSA securing 10 MW of hydro-electric energy with a demand charge of $15.9 per kW of billing demand plus a variable component of USD 1.422¢ per kWh of consumption for the current one-year renewal period. The power purchase agreement stipulates that CLYFSA can pass on any modifications to pricing by ANDE to Backbone Paraguay. A rate increase could adversely impact the profitability of the Company’s operations in Paraguay.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Argentina</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2021, the Company entered engineering, procurement and construction contracts and commenced construction of a 210 MW facility in Argentina (Rio Cuarto – Cordoba). The facility will receive electricity from Generacion Mediterranea S.A. (“GMSA”) one of the subsidiaries of Grupo Albanesi. Grupo Albanesi is an Argentine private corporate group focused on the energy market which provides natural gas and electrical energy to its clients.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terms of the electricity supplied by GMSA in Argentina are included in the Company’s power contract, which establishes a rate of $0.02 per kilowatt hour, up to a maximum amount of 1,103,760 megawatt hours per year. The annual maximum megawatt hours the Company can draw at $0.02 per kilowatt hour is further subject to pro-rata adjustments based on the Company’s actual power draw relative to the total 210 MW. The agreement stipulates that GMSA may provide the Company with power in excess of the 1,103,760 megawatt hours, or such adjusted quantity of megawatt hours based on the pro-rata calculation described above, at a price that will be negotiated by the Company and GMSA. The price to be negotiated between the Company and GMSA will likely be impacted by the cost of natural gas and currency exchange rates in Argentina, among other factors.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agreement also allows for GMSA to renegotiate the $0.02 per kilowatt hour rate if the ratio of the exchange rate under the blue-chip swap mechanism used in Argentina to the official exchange rate is less than 1.50. The $0.02 per kilowatt hour rate and applicable adjustments described above are in effect for the first four years of the contract. The kilowatt hour price for the remaining four years of the contract will be determined by a formula based mainly on changes in gas costs and currency exchange rates. The contract also includes certain situations where the Company’s supply of electricity can be interrupted, including:</w:t>
      </w:r>
    </w:p>
    <w:p>
      <w:pPr>
        <w:spacing w:after="0" w:line="188" w:lineRule="exact"/>
        <w:rPr>
          <w:sz w:val="20"/>
          <w:szCs w:val="20"/>
          <w:color w:val="auto"/>
        </w:rPr>
      </w:pPr>
    </w:p>
    <w:p>
      <w:pPr>
        <w:ind w:left="660" w:hanging="328"/>
        <w:spacing w:after="0" w:line="258"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Regulatory intervention preventing GMSA from providing the Company with electricity, or directing GMSA to reroute its electricity to the wholesale market,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Scheduled and unscheduled maintenance required to service the power plant or related equipment,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Regulatory intervention limiting GMSA’s supply of natural gas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contract with GMSA also includes to certain megawatt hour consumption thresholds and pro-rata adjustments. The Company’s production in Argentina can be materially adversely impacted if the Company is unable to exploit the contractually secured MW capacity on a full-time basis or if the cost of energy negotiated under the pro-rata calculation or calculated using the defined formula in effect for the second four years of the contract, both primarily driven by natural gas prices and foreign currency rates, are not economically viable.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 increase in the Company’s electricity costs, cost of natural gas, changes in currency exchange rates in Argentina or regulatory changes in the energy regimes in the jurisdictions in which the Company operates may adversely impact the Company’s profitability.</w:t>
      </w:r>
    </w:p>
    <w:p>
      <w:pPr>
        <w:spacing w:after="0" w:line="386"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5797550</wp:posOffset>
            </wp:positionH>
            <wp:positionV relativeFrom="page">
              <wp:posOffset>586105</wp:posOffset>
            </wp:positionV>
            <wp:extent cx="1543050" cy="4286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28625"/>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Increases in commodity prices or reductions in the availability of such commodities could adversely impact our results of operations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uses and intends to use certain commodities in its current and future cryptocurrency mining operations, including hydroelectricity and natural gas, respectively. Any unexpected, sudden or prolonged price increase in those commodities may cause a reduction in the Company’s profits where beneficial fixed-priced contracts do not exist or unfavorable fixed-price contracts cannot be modified. There also may be curtailment in electricity or natural gas supply. Geopolitical factors or wars could exacerbate these risks. In particular, the Russia-Ukraine conflict may intensify the inflationary effect on the cost of natural gas, which could be difficult to predict given the fluidity of the military conflict, the novelty of sanctions against Russia and the possibility of yet harsher ones as well as other related developments. The realization of any of the foregoing risks with respect to commodity prices could increase the Company’s operating costs, reduce its profitability and, depending upon the duration and extent of the impact, have a material adverse effect on its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Profits/Losses and Production Revenues/Expenses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 development and acquisitions of server farms and the ongoing operation of the existing Mining farms will require additional capital and monthly expenses. The Company’s operating expenses and capital expenditures may increase in subsequent years as consultants, personnel and equipment associated with the maintenance of the Mining farms and any other Mining farms the Company may acquire are added. There is no assurance that the Company will be successful in obtaining the required financing for these or other purposes, including for general working capital.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Fraud and failure of Cryptocurrency Exchanges, Custodians and Other Trading Venues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Cryptocurrency exchanges, custodians and other trading venues are relatively new and, in most cases, largely unregulated and may therefore be more exposed to fraud and failure. To the extent that cryptocurrency exchanges or other trading venues are involved in fraud or experience security failures or other operational issues, this could result in a reduction in cryptocurrency prices. Furthermore, fraud or failure of one of the Company’s counterparty custodians or exchanges can result in a direct loss of the Company’s cryptocurrency and fiat currency assets.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Cryptocurrency market prices depend, directly or indirectly, on the prices set on exchanges and other trading venues, which are new and, in most cases, largely unregulated as compared to established, regulated exchanges for securities, derivatives and other currencies. In the past four years, a number of cryptocurrency exchanges have been closed due to fraud, business failure or security breaches. In many of these instances, the customers of the closed exchanges were not compensated or made whole for the partial or complete losses of their account balances in such exchanges. While smaller exchanges are less likely to have the infrastructure and capitalization that provide larger exchanges with additional stability, larger exchanges may be more likely to be appealing targets for hackers and “malware” (i.e., software used or programmed by attackers to disrupt computer operation, gather sensitive information or gain access to private computer systems) and may be more likely to be targets of regulatory enforcement 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Political and Regulatory Risk</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primary properties will be subject to changes in political conditions and regulations within the Province of Québec, Canada, the State of Washington, the United States, Paraguay and Argentina. Changes, if any, in Mining or investment policies or shifts in political attitude could adversely affect the Company’s operations or profitability. Operations may be affected in varying degrees by government regulations with respect to, but not limited to, restrictions on price controls, currency remittance, income taxes, consumption taxes, foreign investment, maintenance of claims, environmental legislation, land use, electricity use and safety. For example, cryptocurrency mining involves considerable computing power, which is likely to increase. This computing power necessitates a high consumption of energy. Although a portion of the energy costs used the Company are determined and controlled by a regulator, there is no certainty that this factor will not raise energy tariffs, which may reduce the profitability of mining cryptographic currencies.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On-going and future regulatory changes or actions may alter the nature of an investment in the Company or restrict the use of cryptocurrencies in a manner that adversely affects the Company’s operations. The effect of any future regulatory change on the Company or any cryptocurrency that the Company may mine is impossible to predict, but such change could be substantial and adverse to the Company. Canada, the United States, Paraguay and/or Argentina may in the future curtail or outlaw, the acquisition, use or redemption of cryptocurrencies.</w:t>
      </w:r>
    </w:p>
    <w:p>
      <w:pPr>
        <w:spacing w:after="0" w:line="387"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5797550</wp:posOffset>
            </wp:positionH>
            <wp:positionV relativeFrom="page">
              <wp:posOffset>586105</wp:posOffset>
            </wp:positionV>
            <wp:extent cx="1543050" cy="4286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28625"/>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Governments may also take regulatory action that may increase the cost and/or subject cryptocurrency companies to additional regulation or prohibit or severely restrict the right to acquire, own, hold, sell, use or trade cryptocurrencies or to exchange cryptocurrencies for fiat currency. By extension, similar actions by other governments, may result in the restriction of the acquisition, ownership, holding, selling, use or trading in the Company’s common shares. Such a restriction could result in the Company liquidating its cryptocurrency inventory at unfavorable prices and may adversely affect the Company’s shareholders.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believes the present attitude to foreign investment and to the cryptocurrency mining industry in each of the jurisdictions within which it operates is favourable, but conditions may change. Operations may be affected in varying degrees by government regulation with respect to restrictions on production, price controls, export controls, foreign exchange controls, income taxes, consumption taxes and environmental legislation.</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4, 2022, the Canadian Department of Finance released for public comment a set of draft legislative proposals to implement certain tax measures. These tax measures include restricting the ability of cryptocurrency mining companies to claim back the consumption taxes they incur on purchases of goods and services made in Canada and imports into Canada. If enacted into law, the restriction on the Company’s ability to claim back its consumption taxes, namely the Goods and Services Tax, Harmonized Sales Tax and Quebec Sales Tax, which apply at combined rates from 5% to 14.975% on the cost of goods and services, could significantly add to the Company’s ongoing operating costs and the costs of its capital expenditures and imports into Canada.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Permits and Licenses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current or future operations of the Company, including development activities and Mining on its properties, may require permits from various federal, provincial or territorial and local governmental authorities and such operations are and will be governed by laws and regulations governing prospecting, exports, taxes, labour standards, occupational health, and other matters. There can be no assurance, however, that all permits which the Company may require for its operations will be obtained on reasonable terms, on a timely basis, or at all or that such laws and regulations would not have an adverse effect on any Mining project which the Company might undertake.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Server Failures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is a risk of serious malfunctions in servers or central processing units and/or their collapse. The Company works to reduce this risk by employing a team of experts with many years of experience in building and managing data centers. The Company also employs a “hardware” team, which focuses, among other things, on miner repair and daily evaluation of the technical condition of the server farms that the Company operates. The Company owns software (developed by its management) that enables, among other things, control, management and reporting of malfunctions in real time, which enables ongoing control over the operation of the equipment, including its cooling. While malfunctions in central servers, or central processing units can only occur on a specific server farm or part of it or for short periods of time, such server crashes or failures may cause significant economic damage to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Financial Conditions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Global financial conditions over the last few years have been characterized by volatility and the bankruptcy of several financial institutions or the rescue thereof by governmental authorities. These factors may affect the ability of the Company to obtain equity or debt financing in the future on terms favourable to it. Additionally, these factors, as well as other related factors, may cause decreases in asset values that are deemed to be other than temporary, which may result in impairment losses. If such levels of volatility and market turmoil continue, the operations of the Company may suffer adverse impact and the price of the Common Shares may be adversely affected.</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5797550</wp:posOffset>
            </wp:positionH>
            <wp:positionV relativeFrom="page">
              <wp:posOffset>586105</wp:posOffset>
            </wp:positionV>
            <wp:extent cx="1543050" cy="4286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28625"/>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Consequences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transactions described herein may have tax consequences in Canada or another jurisdiction, depending on each particular existing or prospective shareholder’s specific circumstances. Such tax consequences are not described herein, and this MD&amp;A is not intended to be, nor should it be construed to be, legal or tax advice to any particular shareholder. Existing and prospective shareholders should consult their own tax advisors with respect to any such tax considerations.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the Company’s operations may be subject to environmental regulations, which can make operations expensive or prohibitive. The continued evolvement of environmental regulations may lead to the imposition of stricter standards, more diligent enforcement, and heavier fines and penalties for non-compliance. The cost of compliance with changes in governmental regulations has a potential to reduce the profitability of operations or cause delays in the development of mining projects.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Liability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may be subject to potential risks and liabilities associated with pollution of the environment through its use of electricity to Mine cryptocurrencies. In addition, environmental hazards may exist on a property in which the Company directly or indirectly holds an interest that are unknown to the Company at present and have been caused by previous or existing owners or operators of the property which may result in environmental pollution. A breach of such legislation may result in the imposition of fines and penalties.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the extent the Company is subject to environmental liabilities, the payment of such liabilities or the costs that it may incur to remedy environmental pollution would reduce funds otherwise available to it and could have a material adverse effect on the Company. If the Company is unable to fully remedy an environmental problem, it might be required to suspend operations or enter into interim compliance measures pending completion of the required remedy. The potential exposure may be significant and could have a material adverse effect on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Erroneous Transactions and Human Error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Cryptocurrency transactions are irreversible. Improper or compromised transfers will generally be irreversible and irrevocable. Such errors may be the result of computer or human error despite internal controls the Company has adopted to mitigate this risk. To the extent that the Company is unable to seek a corrective transaction with the third party or is incapable of identifying the third party that has received the Company’s cryptocurrencies through error or theft, the Company will be unable to revert or otherwise recover incorrectly transferred cryptocurrencies. The Company will also be unable to convert or recover cryptocurrencies transferred to uncontrolled accounts.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further development and acceptance of the cryptographic and algorithmic protocols governing the issuance of and transactions in cryptocurrencies is subject to a variety of factors that are difficult to evaluate.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use of cryptocurrencies to, among other things, buy and sell goods and services and complete other transactions, is part of a new and rapidly evolving industry that employs digital assets based upon a computer-generated mathematical and/or cryptographic protocol. The growth of this industry in general, and the use of cryptocurrencies in particular, is subject to a high degree of uncertainty, and the slowing or stopping of the development or acceptance of developing protocols may adversely affect Bitfarms Ltd.’s operations. The factors affecting the further development of the industry, include, but are not limited to:</w:t>
      </w:r>
    </w:p>
    <w:p>
      <w:pPr>
        <w:spacing w:after="0" w:line="188" w:lineRule="exact"/>
        <w:rPr>
          <w:sz w:val="20"/>
          <w:szCs w:val="20"/>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Continued worldwide growth in the adoption and use of cryptocurrencies;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5797550</wp:posOffset>
            </wp:positionH>
            <wp:positionV relativeFrom="page">
              <wp:posOffset>586105</wp:posOffset>
            </wp:positionV>
            <wp:extent cx="1543050" cy="4286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28625"/>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11" w:lineRule="exact"/>
        <w:rPr>
          <w:sz w:val="20"/>
          <w:szCs w:val="20"/>
          <w:color w:val="auto"/>
        </w:rPr>
      </w:pPr>
    </w:p>
    <w:p>
      <w:pPr>
        <w:ind w:left="660" w:hanging="328"/>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Governmental and quasi-governmental regulation of cryptocurrencies and their use, or restrictions on or regulation of access to and operation of the network or similar cryptocurrency systems;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Changes in consumer demographics and public tastes and preferences;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maintenance and development of the open-source software protocol of the network;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availability and popularity of other forms or methods of buying and selling goods and services, including new means of using fiat currencies;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General economic conditions and the regulatory environment relating to digital assets;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Negative consumer sentiment and perception of Bitcoin specifically and cryptocurrencies generally.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Developments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continued development of existing and planned facilities is subject to various factors, and may be delayed or adversely affected by such factors beyond the Company’s control, including delays in the delivery or installation of equipment by suppliers, difficulties in integrating new equipment into existing infrastructure, shortages in materials or labour, defects in design or construction, diversion of management resources, insufficient funding, or other resource constraints. Actual costs for development may exceed the Company’s planned budget. Delays, cost overruns, changes in market circumstances and other factors may result in different outcomes than those intended.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risks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Where considered practical to do so, the Company will maintain insurance against risks in the operation of its business and in amounts that it believes to be reasonable. Such insurance, however, will contain exclusions and limitations on coverage. There can be no assurance that such insurance will continue to be available, will be available at economically acceptable premiums or will be adequate to cover any resulting liability. The novelty of the industry may impair the ability of the Company to acquire adequate insurance coverage for risks associated with its operations. The occurrence of an event that is not covered, in full or in part, by insurance may cause substantial economic damage to the Company. In some cases, such as with respect to environmental risks, coverage is not available or considered too expensive relative to the perceived risk. Any losses incurred by the Company for which insurance coverage is not available or has not been obtained could adversely impact the Company, including its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business is intensely competitive, and the Company will compete with other mining companies, many of which have greater resources and experience. A fundamental property of mining associated with many cryptocurrencies is that the computational complexity of the mining algorithm increases over time. This factor along with new industry entrants and price volatility may make certain cryptocurrencies relatively unprofitable to mine compared to others.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Regulation of cryptocurrency outside of Canada has led some mining companies to consider Canada as a jurisdiction in which to operate. This may increase competition to the Company; however, the Company believes that only a few competitors exist that can compete with the speed and cost effectiveness of its current operations and buildout capabilities. Nevertheless, the Company’s assumptions with respect to its competitors could be inaccurate and the Company may face unexpected competition in the form of a new entrant in the marketplace. Such competition could erode the Company’s expected market share and could adversely impact the Company’s profitability. Increased competition could result in increased network computing resources and consequently increased hash difficulty.</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5797550</wp:posOffset>
            </wp:positionH>
            <wp:positionV relativeFrom="page">
              <wp:posOffset>586105</wp:posOffset>
            </wp:positionV>
            <wp:extent cx="1543050" cy="4286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28625"/>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the award of coins for solving Blocks and transaction fees are not sufficiently high, miners may not have an adequate incentive to continue Mining and may cease their Mining operations. As the number of coins awarded for solving a block in the blockchain decreases, the incentive for miners to continue to contribute processing power to the network may transition from a set reward to transaction fees. Either the requirement from miners of higher transaction fees in exchange for recording transactions in the blockchain, or a software upgrade that automatically charges fees for all transactions, may decrease demand for the relevant coins and prevent the expansion of the network to retail merchants and commercial businesses, resulting in a reduction in the price of the relevant cryptocurrency that could adversely impact the Company’s cryptocurrency inventory and investments.</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order to incentivize miners to continue to contribute processing power to the network, the network may either formally or informally transition from a set reward to transaction fees earned upon solving for a block. This transition could be accomplished either by miners independently electing to record on the blockchains they solve only those transactions that include payment of a transaction fee or by the network adopting software upgrades that require the payment of a minimum transaction fee for all transactions. If transaction fees paid for the recording of transactions in the blockchain become too high, the marketplace may be reluctant to accept the network as a means of payment and existing users may be motivated to switch between cryptocurrencies or back to fiat currency. Decreased use and demand for coins may adversely affect their value and result in a reduction in the market price of coins.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award of coins for solving blocks and transaction fees for recording transactions are not sufficiently high to incentivize miners, miners may cease expending processing power to solve Blocks and confirmations of transactions on the blockchain could be slowed temporarily. A reduction in the processing power expended by miners could increase the likelihood of a malicious actor or botnet obtaining control in excess of 50 percent of the processing power active on the blockchain, potentially permitting such actor or botnet to manipulate the blockchain in a manner that adversely affects the Company’s mining activities.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award of coins for solving Blocks and transaction fees are not sufficiently high, miners may not have an adequate incentive to continue Mining and may cease their Mining operations. Miners ceasing operations would reduce collective processing power, which would adversely affect the confirmation process for transactions (i.e., decreasing the speed at which blocks are added to the blockchain until the next scheduled adjustment in difficulty for blockchain solutions) and make the network more vulnerable to a malicious actor or botnet obtaining control in excess of 50 percent of the processing power. Any reduction in confidence in the confirmation process or processing power of the network may adversely impact the Company’s Mining activities, inventory of coins, and future investment strategies.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of Key Employees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will depend on a number of key employees, the loss of any one of whom could have an adverse effect on the Company. The Company will not have and is not expected to purchase key person insurance on such individuals, which insurance would provide the Company with insurance proceeds in the event of their death. Without key person insurance, the Company may not have the financial resources to develop or maintain its business until it replaces the individual. The development of the business of the Company will be dependent on its ability to attract and retain highly qualified management and mining personnel. The Company will face competition for personnel from other employers. If the Company is unable to attract or retain qualified personnel as required, it may not be able to adequately manage and implement its business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Acceptance and/or widespread use of cryptocurrency is uncertain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Currently, cryptocurrencies are used relatively rarely in the retail and commercial marketplaces in comparison to purchases of overall cryptocurrencies worldwide. Cryptocurrency payment methods have not been widely adopted as a means of a payment for goods and services by major retail and commercial outlets. A significant portion of cryptocurrency demand may be attributable to speculation.</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5797550</wp:posOffset>
            </wp:positionH>
            <wp:positionV relativeFrom="page">
              <wp:posOffset>586105</wp:posOffset>
            </wp:positionV>
            <wp:extent cx="1543050" cy="4286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28625"/>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failure of retail and commercial marketplaces to adopt cryptocurrency payment methods may result in increased volatility and/or a reduction in market prices, either of which may adversely impact the Company’s operations and profitability.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Hazards associated with high-voltage electricity transmission and industrial operations may result in suspension of our operations or the imposition of civil or criminal penalties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operations of the Company are subject to typical hazards associated with high-voltage electricity transmission and the supply of utilities to the facilities of the Company at an industrial scale, including explosions, fires, inclement weather, natural disasters, flooding, mechanical failure, unscheduled downtime, equipment interruptions, remediation, chemical spills, discharges or releases of toxic or hazardous substances or gases and other environmental risks. The hazards can cause personal injury and loss of life, severe damage to or destruction of property and equipment and environmental damage, and may result in suspension of operations and the imposition of civil or criminal penalties.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ESG Practices and the Impacts of Climate Change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Companies across many industries, including cryptocurrency Mining, are facing scrutiny related to their environmental, social, and governance (“ESG”) practices. Investor advocacy groups, certain institutional investors, investment funds and other influential investors are also increasingly focused on ESG practices and in recent years have placed increasing importance on the non-financial impacts of their investments. Enhanced public awareness and concern regarding environmental risks, including global climate change, may result in increased public scrutiny of the Company’s business and the cryptocurrency Mining industry in general. As a result, the Company’s management team may divert significant time and energy towards responding to such scrutiny and addressing and enhancing the Company’s ESG practices.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the impacts of climate change may affect the availability and cost of materials, natural resources, and sources and supplies of energy, which may increase the costs of the Company’s operations. Other factors which may impact the Company’s profitability include demand for Bitcoin and other cryptocurrencies, insurance and other operating costs, and damage incurred as a result of extreme weather events. New environmental laws, regulations or industry standards may be adopted with little or no notice to the Company, and impose significant operational restrictions and compliance requirements on our operations. The cost of compliance with changes in government regulations has the potential to reduce the profitability of the Company’s operations or cause delays in the development of new Mining projects.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Party Supplier Risks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enters into contracts with a limited number of third party suppliers to procure mining hardware. If any of those suppliers is unable to or otherwise does not fulfill (or does not fulfill in a timely manner) its obligations to the Company for any reason (including, but not limited to, bankruptcy, computer or other technological interruptions or failures, personnel loss, negative regulatory actions, or acts of God) or engages in fraud or other misconduct during the course of such relationship, the Company may need to seek alternative third party suppliers, or discontinue certain products or programs in their entirety. In addition, the Company may in the future be held directly or indirectly responsible, or be otherwise subject to liability, for actions or omissions of third parties undertaken in connection with the Company’s arrangement with such third parties. Any such responsibility or liability in the future may have a material adverse effect on the Company’s business and financial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of Bitfarms Being Classified as a Passive Foreign Investment Company</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Generally, if for any taxable year 75% or more of the Company’s gross income is passive income, or at least 50% of the average quarterly value of the Company’s assets are held for the production of, or produce, passive income, the Company would be characterized as a passive foreign investment company (“PFIC”) for U.S. federal income tax purposes. The Company does not believe it was a PFIC for 2021. However, PFIC status is determined annually, and whether the Company will be a PFIC for the current or any future taxable year is uncertain. Moreover, the Company is not committing to determine whether it is or is not a PFIC on an annual basis. If the Company is characterized as a PFIC, United States holders of Bitfarms Shares may suffer adverse tax consequences, including the treatment of gains realized on the sale of Bitfarms Shares as ordinary income, rather than as capital gain, the loss of the preferential income tax rate applicable to dividends received on Bitfarms Shares by individuals who are United States holders, and the addition of interest charges to the tax on such gains and certain distributions. A United States shareholder of a PFIC generally may mitigate these adverse U.S. federal income tax consequences by making a Qualified Electing Fund (“QEF”) election, or, to a lesser extent, a mark-to-market election. The Company does not intend to provide the information necessary for United States shareholders to make a QEF election if the Company is classified as a PFIC for any year.</w:t>
      </w:r>
    </w:p>
    <w:p>
      <w:pPr>
        <w:spacing w:after="0" w:line="3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5797550</wp:posOffset>
            </wp:positionH>
            <wp:positionV relativeFrom="page">
              <wp:posOffset>586105</wp:posOffset>
            </wp:positionV>
            <wp:extent cx="1543050" cy="4286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28625"/>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twelve month period ended December 31, 2021, the Company had the following transactions with related parties:</w:t>
      </w:r>
    </w:p>
    <w:p>
      <w:pPr>
        <w:spacing w:after="0" w:line="225" w:lineRule="exact"/>
        <w:rPr>
          <w:sz w:val="20"/>
          <w:szCs w:val="20"/>
          <w:color w:val="auto"/>
        </w:rPr>
      </w:pPr>
    </w:p>
    <w:p>
      <w:pPr>
        <w:jc w:val="both"/>
        <w:ind w:left="340" w:hanging="332"/>
        <w:spacing w:after="0" w:line="263" w:lineRule="auto"/>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Bitfarms made rent payments totaling approximately $0.1 million and $0.5 million for the three and twelve month periods ended December 31, 2021, respectively, (three and twelve months ended December 31, 2020: $0.1 million and $0.4 million, respectively) to companies controlled by certain directors.</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Bitfarms entered into consulting agreements with two of the directors. The consulting fees charged by directors totaled approximately $0.2 million and $0.6 million for the three and twelve month periods ended December 31, 2021, respectively (three and twelve months ended December 31, 2020: $0.1 million and $0.4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transactions listed above were incurred in the normal course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Recent and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Program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period from January 1, 2022, to March 28, 2022, the Company issued 6,445,709 common shares in exchange for gross proceeds of $25.6 million at an average share price of approximately 3.97 USD. The Company received net proceeds of $24.8 million after paying commissions of $0.8 million to the Company’s agent.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Digital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January 6, 2022, the Company purchased 1,000 BTC for $43.2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Financing</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February 24, 2022, the Company entered into a $32 million equipment financing agreement with BlockFi Lending LLC. This loan bears interest at 14.5% for a period of 2 years and is secured by 6,100 Bitmain S19j Pros. The loan will be repaid with average monthly payments of $1.5 million.</w:t>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5797550</wp:posOffset>
            </wp:positionH>
            <wp:positionV relativeFrom="page">
              <wp:posOffset>586105</wp:posOffset>
            </wp:positionV>
            <wp:extent cx="1543050" cy="4286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28625"/>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Significant Accounting Estimates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preparation of the Company’s audited consolidated financial statements for the years ended December 31, 2021 requires management to make certain estimates, judgments and assumptions that affect the reported amounts of assets and liabilities at the date of the consolidated financial statements and the reported amounts of revenues and expenses during the reporting period. Actual outcomes could differ from these estimates. The audited consolidated financial statements include estimates that, by their nature, are uncertain. Key areas of estimation uncertainty include those relating to revenue recognition (Note 3a and Note 8), determination of lease term of contracts with renewal options (Note 3a and Note 15), impairment of non-financial assets (Note 3b and Note 9d), reversal of impairment of non-financial assets (Note 3b and Note 9b), goodwill (Note 3b and Note 4) and effective interest rates of long-term debt (Note 3b and Note 14). The impacts of such estimates are pervasive throughout the audited consolidated financial statements and may require accounting adjustments based on future occurrences. Revisions to accounting estimates are recognized in the period in which the estimate is revised and future periods if the revision affects both current and future periods. These estimates are based on historical experience, current and future economic conditions and other factors, including expectations of future events that are believed to be reasonable under the circumstances.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Caution Regarding Forward-Looking Statements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MD&amp;A contains forward-looking statements about the Company’s objectives, plans, goals, aspirations, strategies, financial condition, results of operations, cash flows, performance, prospects, opportunities and legal and regulatory matters. Specific forward-looking statements in this MD&amp;A include, but are not limited to, statements with respect to the Company’s anticipated future results, events and plans, strategic initiatives, future liquidity, and planned capital investments. Forward-looking statements are typically identified by words such as “expect”, “anticipate”, “believe”, “foresee”, “could”, “estimate”, “goal”, “intend”, “plan”, “seek”, “strive”, “will”, “may”, “maintain”, “achieve”, “grow”, “should” and similar expressions, as they relate to the Company and its management.</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Forward-looking statements reflect the Company’s current estimates, beliefs and assumptions, which are based on management’s perception of historical trends, current conditions and expected future developments, as well as other factors it believes are appropriate in the circumstances. The Company’s expectation of operating and financial performance is based on certain assumptions including assumptions about operational growth, anticipated cost savings, operating efficiencies, anticipated benefits from strategic initiatives, future liquidity, and planned capital investments. The Company’s estimates, beliefs and assumptions are inherently subject to significant business, economic, competitive and other uncertainties and contingencies regarding future events and as such, are subject to change. The Company can give no assurance that such estimates, beliefs and assumptions will prove to be correct.</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Numerous risks and uncertainties could cause the Company’s actual results to differ materially from those expressed, implied or projected in the forward-looking statements. Such risks and uncertainties include:</w:t>
      </w:r>
    </w:p>
    <w:p>
      <w:pPr>
        <w:spacing w:after="0" w:line="170" w:lineRule="exact"/>
        <w:rPr>
          <w:sz w:val="20"/>
          <w:szCs w:val="20"/>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Bitcoin Halving event;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COVID 19 pandemic;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Counterparty risk;</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5797550</wp:posOffset>
            </wp:positionH>
            <wp:positionV relativeFrom="page">
              <wp:posOffset>603250</wp:posOffset>
            </wp:positionV>
            <wp:extent cx="1543050" cy="4286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28625"/>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38" w:lineRule="exact"/>
        <w:rPr>
          <w:sz w:val="20"/>
          <w:szCs w:val="20"/>
          <w:color w:val="auto"/>
        </w:rPr>
      </w:pPr>
    </w:p>
    <w:p>
      <w:pPr>
        <w:ind w:left="660" w:hanging="328"/>
        <w:spacing w:after="0"/>
        <w:tabs>
          <w:tab w:leader="none" w:pos="6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availability of financing opportunities and risks associated with economic conditions, including Bitcoin price and Bitcoin network difficulty;</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speculative and competitive nature of the technology sector;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dependency in continued growth in blockchain and cryptocurrency usage;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limited operating history and share price fluctuations;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cybersecurity threats and hacking;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controlling shareholder risk;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risk related to technological obsolescence and difficulty in obtaining hardware;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economic dependence on regulated terms of service and electricity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increases in commodity prices or reductions in the availability of such commodities could adversely impact our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permits and licenses;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server failures;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global financial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environmental regulations and liability;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erroneous transactions and human error;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facility developments;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non-availability of insurance;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loss of key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lawsuits and other legal proceedings and challenges;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conflict of interests with directors and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political and regulatory risk;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adoption of ESG practices and the impacts of climate 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third party supplier risks;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other factors beyond the Company’s control.</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above is not an exhaustive list of the factors that may affect the Company’s forward-looking statements. For a complete list of factors that could affect the Company, please refer to the risk factors contained in the section “Risk Factors” of the Annual Information Form of the Company dated March 28, 2022. Other risks and uncertainties not presently known to the Company or that the Company presently believes are not material could also cause actual results or events to differ materially from those expressed in its forward-looking statements. Readers are cautioned not to place undue reliance on these forward-looking statements, which reflect the Company’s expectations only as of the date of this MD&amp;A. Except as required by law, the Company does not undertake to update or revise any forward-looking statements, whether as a result of new information, future events or otherwise.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Caution Regarding Non-IFRS Financial Performance Measures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This MD&amp;A makes reference to certain measures that are not recognized under IFRS and do not have a standardized meaning prescribed by IFRS. They are therefore unlikely to be comparable to similar measures presented by other companies. The Company uses non-IFRS measures including “EBITDA,” “EBITDA margin,” “Adjusted EBITDA,” “Adjusted EBITDA margin,” “Gross mining profit,” and “Gross mining margin” as additional information to complement IFRS measures by providing further understanding of the Company’s results of operations from management’s perspective.</w:t>
      </w: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8" w:right="339" w:bottom="578"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5797550</wp:posOffset>
            </wp:positionH>
            <wp:positionV relativeFrom="page">
              <wp:posOffset>586105</wp:posOffset>
            </wp:positionV>
            <wp:extent cx="1543050" cy="4286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28625"/>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EBITDA and EBITDA margin are common measures used to assess profitability before the impact of different financing methods, income taxes, depreciation of capital assets and amortization of intangible assets. Adjusted EBITDA and Adjusted EBITDA margin are measures used to assess profitability before the impact of all of the items in calculating EBITDA in addition to certain other non-cash expenses. Gross mining profit and Gross mining margin are measures used to assess profitability after power costs in cryptocurrency production, the largest variable expense in Mining. Management uses non-IFRS measures in order to facilitate operating performance comparisons from period to period and to prepare annual operating budgets.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“EBITDA” is defined as net income (loss) before: (i) interest expense; (ii) income tax expense; and (iii) depreciation and amortization. “EBITDA margin” is defined as the percentage obtained when dividing EBITDA by Revenues. “Adjusted EBITDA” is defined as EBITDA adjusted to exclude: (i) share-based compensation; (ii) non-cash finance expenses; (iii) asset impairment charges; (iv) revaluation gains or losses on digital assets and (v) other non-cash expenses. “Adjusted EBITDA margin” is defined as the percentage obtained when dividing Adjusted EBITDA by Mining related Revenues. “Gross mining profit” is defined as Gross Profit before: (i) non-mining revenues; (ii) depreciation and amortization; (iii) purchase of electrical components and other expenses; and (iv) electrician salaries and payroll taxes. “Gross mining margin” is defined as the percentage obtained when dividing Gross mining profit by Mining related revenues.</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These measures are provided as additional information to complement IFRS measures by providing further understanding of the Company’s results of operations from management’s perspective. Accordingly, they should not be considered in isolation nor as a substitute for analysis of the Company’s financial information reported under IFRS. Reconciliations from IFRS measures to non-IFRS measures are included throughout this MD&amp;A.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Internal Controls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disclosure controls and procedures are designed to provide reasonable assurance that information is accumulated and communicated to the Company’s management, including the Chief Executive Officer and Chief Financial Officer, as appropriate, to allow timely decisions regarding required disclosure. As of December 31, 2021, the Company’s management, with the participation of the Chief Executive Officer and Chief Financial Officer, evaluated the effectiveness of its disclosure controls and procedures, as defined under the Canadian securities regulatory authorities, and have concluded that the Company’s disclosure controls and procedures are effective.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These controls include policies and procedures that:</w:t>
      </w:r>
    </w:p>
    <w:p>
      <w:pPr>
        <w:spacing w:after="0" w:line="170" w:lineRule="exact"/>
        <w:rPr>
          <w:sz w:val="20"/>
          <w:szCs w:val="20"/>
          <w:color w:val="auto"/>
        </w:rPr>
      </w:pPr>
    </w:p>
    <w:p>
      <w:pPr>
        <w:ind w:left="660" w:hanging="328"/>
        <w:spacing w:after="0" w:line="277"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International Financial Reporting Standards as issued by the International Accounting Standards Board, and that receipts and expenditures are being made only in accordance with authorizations of management and directors of the Company; and</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control systems contain inherent limitations, no matter how well designed. As a result, the Company’s management acknowledges that its internal control over financial reporting will not prevent or detect all misstatements due to error or fraud. In addition, management’s evaluation of controls can provide only reasonable, not absolute, assurance that all control issues that may result in material misstatements, if any, have been detected.</w:t>
      </w:r>
    </w:p>
    <w:p>
      <w:pPr>
        <w:spacing w:after="0" w:line="38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5797550</wp:posOffset>
            </wp:positionH>
            <wp:positionV relativeFrom="page">
              <wp:posOffset>586105</wp:posOffset>
            </wp:positionV>
            <wp:extent cx="1543050" cy="4286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28625"/>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assessed the effectiveness of internal control over financial reporting, using the Internal Control-Integrated Framework 2013 issued by the Committee of Sponsoring Organizations of the Treadway Commission (COSO), and based on that assessment concluded that internal control over financial reporting was effective as at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that have materially affected, or are reasonably likely to materially affect, the Company’s internal control over financial reporting during the year ended December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Additional information and other publicly filed documents relating to the Company are available through the internet on SEDAR at www.sedar.com.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Glossary of Terms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ASIC: </w:t>
      </w:r>
      <w:r>
        <w:rPr>
          <w:rFonts w:ascii="Arial" w:cs="Arial" w:eastAsia="Arial" w:hAnsi="Arial"/>
          <w:sz w:val="18"/>
          <w:szCs w:val="18"/>
          <w:color w:val="auto"/>
        </w:rPr>
        <w:t>ASIC stands for Application Specific Integrated Circuit and refers primarily to specific computer devices designed to solve the SHA-256 algorithm,</w:t>
      </w:r>
      <w:r>
        <w:rPr>
          <w:rFonts w:ascii="Arial" w:cs="Arial" w:eastAsia="Arial" w:hAnsi="Arial"/>
          <w:sz w:val="18"/>
          <w:szCs w:val="18"/>
          <w:b w:val="1"/>
          <w:bCs w:val="1"/>
          <w:color w:val="auto"/>
        </w:rPr>
        <w:t xml:space="preserve"> </w:t>
      </w:r>
      <w:r>
        <w:rPr>
          <w:rFonts w:ascii="Arial" w:cs="Arial" w:eastAsia="Arial" w:hAnsi="Arial"/>
          <w:sz w:val="18"/>
          <w:szCs w:val="18"/>
          <w:color w:val="auto"/>
        </w:rPr>
        <w:t>as well as other machines used in the Mining of Litecoin which use the Scrypt algorithm.</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Bitcoin: </w:t>
      </w:r>
      <w:r>
        <w:rPr>
          <w:rFonts w:ascii="Arial" w:cs="Arial" w:eastAsia="Arial" w:hAnsi="Arial"/>
          <w:sz w:val="18"/>
          <w:szCs w:val="18"/>
          <w:color w:val="auto"/>
        </w:rPr>
        <w:t>Bitcoin is a decentralized digital currency that is not controlled by any centralized authority (e.g. a government, financial institution or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that can be sent from user to user on the Bitcoin network without the need for intermediaries to clear transactions. Transactions are verified through the process of Mining and recorded in a public ledger known as the Blockchain. Bitcoin is created when the Bitcoin network issues Block Rewards through the Mining process.</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Block Reward: </w:t>
      </w:r>
      <w:r>
        <w:rPr>
          <w:rFonts w:ascii="Arial" w:cs="Arial" w:eastAsia="Arial" w:hAnsi="Arial"/>
          <w:sz w:val="18"/>
          <w:szCs w:val="18"/>
          <w:color w:val="auto"/>
        </w:rPr>
        <w:t>A Bitcoin block reward refers to the new bitcoin that are awarded by the Blockchain network to eligible cryptocurrency miners for</w:t>
      </w:r>
      <w:r>
        <w:rPr>
          <w:rFonts w:ascii="Arial" w:cs="Arial" w:eastAsia="Arial" w:hAnsi="Arial"/>
          <w:sz w:val="18"/>
          <w:szCs w:val="18"/>
          <w:b w:val="1"/>
          <w:bCs w:val="1"/>
          <w:color w:val="auto"/>
        </w:rPr>
        <w:t xml:space="preserve"> </w:t>
      </w:r>
      <w:r>
        <w:rPr>
          <w:rFonts w:ascii="Arial" w:cs="Arial" w:eastAsia="Arial" w:hAnsi="Arial"/>
          <w:sz w:val="18"/>
          <w:szCs w:val="18"/>
          <w:color w:val="auto"/>
        </w:rPr>
        <w:t>each block they successfully mine. The current block reward is 6.25 Bitcoin per block.</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Blockchain: </w:t>
      </w:r>
      <w:r>
        <w:rPr>
          <w:rFonts w:ascii="Arial" w:cs="Arial" w:eastAsia="Arial" w:hAnsi="Arial"/>
          <w:sz w:val="17"/>
          <w:szCs w:val="17"/>
          <w:color w:val="auto"/>
        </w:rPr>
        <w:t>A Blockchain is a cloud-based public ledger that exists on computers that participate on the network globally. The Blockchain grows as new</w:t>
      </w:r>
      <w:r>
        <w:rPr>
          <w:rFonts w:ascii="Arial" w:cs="Arial" w:eastAsia="Arial" w:hAnsi="Arial"/>
          <w:sz w:val="17"/>
          <w:szCs w:val="17"/>
          <w:b w:val="1"/>
          <w:bCs w:val="1"/>
          <w:color w:val="auto"/>
        </w:rPr>
        <w:t xml:space="preserve"> </w:t>
      </w:r>
      <w:r>
        <w:rPr>
          <w:rFonts w:ascii="Arial" w:cs="Arial" w:eastAsia="Arial" w:hAnsi="Arial"/>
          <w:sz w:val="17"/>
          <w:szCs w:val="17"/>
          <w:color w:val="auto"/>
        </w:rPr>
        <w:t>sets of data, or ‘blocks’, are added to it through Mining. Each block contains a timestamp and a link to the previous block, such that the series of blocks form a continuous chain. Given that each block has a separate hash and each hash requires information from the previous block, altering information an established block would require recalculating all the hashes on the Blockchain which would require an enormous and impracticable amount of computing power. As a result, once a block is added to the Blockchain it is very difficult to edit and impossible to delete.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Exahash: </w:t>
      </w:r>
      <w:r>
        <w:rPr>
          <w:rFonts w:ascii="Arial" w:cs="Arial" w:eastAsia="Arial" w:hAnsi="Arial"/>
          <w:sz w:val="18"/>
          <w:szCs w:val="18"/>
          <w:color w:val="auto"/>
        </w:rPr>
        <w:t>One quintillion (1,000,000,000,000,000,000) hashes per second or one million Terahash</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5797550</wp:posOffset>
            </wp:positionH>
            <wp:positionV relativeFrom="page">
              <wp:posOffset>586105</wp:posOffset>
            </wp:positionV>
            <wp:extent cx="1543050" cy="4286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28625"/>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07"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Hash: </w:t>
      </w:r>
      <w:r>
        <w:rPr>
          <w:rFonts w:ascii="Arial" w:cs="Arial" w:eastAsia="Arial" w:hAnsi="Arial"/>
          <w:sz w:val="17"/>
          <w:szCs w:val="17"/>
          <w:color w:val="auto"/>
        </w:rPr>
        <w:t>A hash is a function that converts or maps an input of letters and numbers into an encrypted output of a fixed length, which outputs are often referred</w:t>
      </w:r>
      <w:r>
        <w:rPr>
          <w:rFonts w:ascii="Arial" w:cs="Arial" w:eastAsia="Arial" w:hAnsi="Arial"/>
          <w:sz w:val="17"/>
          <w:szCs w:val="17"/>
          <w:b w:val="1"/>
          <w:bCs w:val="1"/>
          <w:color w:val="auto"/>
        </w:rPr>
        <w:t xml:space="preserve"> </w:t>
      </w:r>
      <w:r>
        <w:rPr>
          <w:rFonts w:ascii="Arial" w:cs="Arial" w:eastAsia="Arial" w:hAnsi="Arial"/>
          <w:sz w:val="17"/>
          <w:szCs w:val="17"/>
          <w:color w:val="auto"/>
        </w:rPr>
        <w:t>to as hashes. A hash is created using an algorithm. The algorithm used in the validation of Bitcoin transactions is the SHA-256 algorithm.</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Hashrate: </w:t>
      </w:r>
      <w:r>
        <w:rPr>
          <w:rFonts w:ascii="Arial" w:cs="Arial" w:eastAsia="Arial" w:hAnsi="Arial"/>
          <w:sz w:val="17"/>
          <w:szCs w:val="17"/>
          <w:color w:val="auto"/>
        </w:rPr>
        <w:t>Hashrate refers to the number of hash operations performed per second and is a measure of computing power in Mining cryptocurrency.</w:t>
      </w:r>
    </w:p>
    <w:p>
      <w:pPr>
        <w:spacing w:after="0" w:line="23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Megawatt: </w:t>
      </w:r>
      <w:r>
        <w:rPr>
          <w:rFonts w:ascii="Arial" w:cs="Arial" w:eastAsia="Arial" w:hAnsi="Arial"/>
          <w:sz w:val="18"/>
          <w:szCs w:val="18"/>
          <w:color w:val="auto"/>
        </w:rPr>
        <w:t>A megawatt is 1,000 kilowatts of electricity and, in the industry of cryptocurrency Mining, is typically a reference to the number of megawatts</w:t>
      </w:r>
      <w:r>
        <w:rPr>
          <w:rFonts w:ascii="Arial" w:cs="Arial" w:eastAsia="Arial" w:hAnsi="Arial"/>
          <w:sz w:val="18"/>
          <w:szCs w:val="18"/>
          <w:b w:val="1"/>
          <w:bCs w:val="1"/>
          <w:color w:val="auto"/>
        </w:rPr>
        <w:t xml:space="preserve"> </w:t>
      </w:r>
      <w:r>
        <w:rPr>
          <w:rFonts w:ascii="Arial" w:cs="Arial" w:eastAsia="Arial" w:hAnsi="Arial"/>
          <w:sz w:val="18"/>
          <w:szCs w:val="18"/>
          <w:color w:val="auto"/>
        </w:rPr>
        <w:t>of electricity per hour that is available for use.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Miners: </w:t>
      </w:r>
      <w:r>
        <w:rPr>
          <w:rFonts w:ascii="Arial" w:cs="Arial" w:eastAsia="Arial" w:hAnsi="Arial"/>
          <w:sz w:val="18"/>
          <w:szCs w:val="18"/>
          <w:color w:val="auto"/>
        </w:rPr>
        <w:t>ASICs used by the Company to perform Mining.</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Mining: </w:t>
      </w:r>
      <w:r>
        <w:rPr>
          <w:rFonts w:ascii="Arial" w:cs="Arial" w:eastAsia="Arial" w:hAnsi="Arial"/>
          <w:sz w:val="18"/>
          <w:szCs w:val="18"/>
          <w:color w:val="auto"/>
        </w:rPr>
        <w:t>Mining refers to the process of using specialized computer hardware, and in the case of the Company, ASICs, to perform mathematical</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calculations to confirm transactions and increase security for the Bitcoin Blockchain. As a reward for their services, Bitcoin Miners collect transaction fees for the transactions they confirm, along with newly created Bitcoin as Block Rewards.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Mining Pool: </w:t>
      </w:r>
      <w:r>
        <w:rPr>
          <w:rFonts w:ascii="Arial" w:cs="Arial" w:eastAsia="Arial" w:hAnsi="Arial"/>
          <w:sz w:val="18"/>
          <w:szCs w:val="18"/>
          <w:color w:val="auto"/>
        </w:rPr>
        <w:t>A Mining pool is a group of cryptocurrency miners who pool their computational resources, or Hashrate, in order to increase the probability</w:t>
      </w:r>
      <w:r>
        <w:rPr>
          <w:rFonts w:ascii="Arial" w:cs="Arial" w:eastAsia="Arial" w:hAnsi="Arial"/>
          <w:sz w:val="18"/>
          <w:szCs w:val="18"/>
          <w:b w:val="1"/>
          <w:bCs w:val="1"/>
          <w:color w:val="auto"/>
        </w:rPr>
        <w:t xml:space="preserve"> </w:t>
      </w:r>
      <w:r>
        <w:rPr>
          <w:rFonts w:ascii="Arial" w:cs="Arial" w:eastAsia="Arial" w:hAnsi="Arial"/>
          <w:sz w:val="18"/>
          <w:szCs w:val="18"/>
          <w:color w:val="auto"/>
        </w:rPr>
        <w:t>of finding a block on the Bitcoin Blockchain. Mining pools administer regular payouts to mitigate the risk of Miners operating for a prolonged period of time without finding a block.</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Network Difficulty: </w:t>
      </w:r>
      <w:r>
        <w:rPr>
          <w:rFonts w:ascii="Arial" w:cs="Arial" w:eastAsia="Arial" w:hAnsi="Arial"/>
          <w:sz w:val="18"/>
          <w:szCs w:val="18"/>
          <w:color w:val="auto"/>
        </w:rPr>
        <w:t>Network difficulty is a unitless measure of how difficult it is to find a hash below a given target. The Bitcoin network protocol</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automatically adjusts Network Difficulty by changing the target every 2,016 blocks hashed based on the time it took for the total computing power used in Bitcoin Mining to solve the previous 2,016 blocks such that the average time to solve each block is ten minutes.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Network Hashrate: </w:t>
      </w:r>
      <w:r>
        <w:rPr>
          <w:rFonts w:ascii="Arial" w:cs="Arial" w:eastAsia="Arial" w:hAnsi="Arial"/>
          <w:sz w:val="17"/>
          <w:szCs w:val="17"/>
          <w:color w:val="auto"/>
        </w:rPr>
        <w:t>Network Hashrate refers to the total global Hashrate (and related computing power) used in Mining for a given cryptocurrency.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Petahash: </w:t>
      </w:r>
      <w:r>
        <w:rPr>
          <w:rFonts w:ascii="Arial" w:cs="Arial" w:eastAsia="Arial" w:hAnsi="Arial"/>
          <w:sz w:val="18"/>
          <w:szCs w:val="18"/>
          <w:color w:val="auto"/>
        </w:rPr>
        <w:t>One quadrillion (1,000,000,000,000,000) hashes per second or one thousand Terahash</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SHA-256: </w:t>
      </w:r>
      <w:r>
        <w:rPr>
          <w:rFonts w:ascii="Arial" w:cs="Arial" w:eastAsia="Arial" w:hAnsi="Arial"/>
          <w:sz w:val="18"/>
          <w:szCs w:val="18"/>
          <w:color w:val="auto"/>
        </w:rPr>
        <w:t>SHA stands for Secure Hash Algorithm. The SHA-256 algorithm was designed by the US National Security Agency and is the cryptographic</w:t>
      </w:r>
      <w:r>
        <w:rPr>
          <w:rFonts w:ascii="Arial" w:cs="Arial" w:eastAsia="Arial" w:hAnsi="Arial"/>
          <w:sz w:val="18"/>
          <w:szCs w:val="18"/>
          <w:b w:val="1"/>
          <w:bCs w:val="1"/>
          <w:color w:val="auto"/>
        </w:rPr>
        <w:t xml:space="preserve"> </w:t>
      </w:r>
      <w:r>
        <w:rPr>
          <w:rFonts w:ascii="Arial" w:cs="Arial" w:eastAsia="Arial" w:hAnsi="Arial"/>
          <w:sz w:val="18"/>
          <w:szCs w:val="18"/>
          <w:color w:val="auto"/>
        </w:rPr>
        <w:t>hash function used within the Bitcoin network to validate transactions on the Bitcoin Blockchain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Terahash: </w:t>
      </w:r>
      <w:r>
        <w:rPr>
          <w:rFonts w:ascii="Arial" w:cs="Arial" w:eastAsia="Arial" w:hAnsi="Arial"/>
          <w:sz w:val="18"/>
          <w:szCs w:val="18"/>
          <w:color w:val="auto"/>
        </w:rPr>
        <w:t>One trillion (1,000,000,000,000) hashes per second.</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2"/>
          <w:szCs w:val="22"/>
          <w:b w:val="1"/>
          <w:bCs w:val="1"/>
          <w:color w:val="auto"/>
        </w:rPr>
        <w:t>Exhibit 99.4</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Emiliano Grodzki, certify that:</w:t>
      </w:r>
    </w:p>
    <w:p>
      <w:pPr>
        <w:spacing w:after="0" w:line="225" w:lineRule="exact"/>
        <w:rPr>
          <w:sz w:val="20"/>
          <w:szCs w:val="20"/>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 have reviewed this Annual Report on Form 40-F of Bitfarms Ltd. (the “issuer”);</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issuer’s other certifying officer and I are responsible for establishing and maintaining disclosure controls and procedures (as defined in Exchange Act Rules 13a-15(e) and 15d-15(e)) for the issuer and have:</w:t>
      </w:r>
    </w:p>
    <w:p>
      <w:pPr>
        <w:spacing w:after="0" w:line="170" w:lineRule="exact"/>
        <w:rPr>
          <w:rFonts w:ascii="Arial" w:cs="Arial" w:eastAsia="Arial" w:hAnsi="Arial"/>
          <w:sz w:val="18"/>
          <w:szCs w:val="18"/>
          <w:color w:val="auto"/>
        </w:rPr>
      </w:pPr>
    </w:p>
    <w:p>
      <w:pPr>
        <w:jc w:val="both"/>
        <w:ind w:left="980" w:right="20" w:hanging="324"/>
        <w:spacing w:after="0" w:line="263" w:lineRule="auto"/>
        <w:tabs>
          <w:tab w:leader="none" w:pos="98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342" w:lineRule="auto"/>
        <w:tabs>
          <w:tab w:leader="none" w:pos="98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disclosed in this report any change in the issuer’s internal control over financial reporting that occurred during the period covered by the annual report that has materially affected, or is reasonably likely to materially affect, the issuer’s internal control over financial reporting; and</w:t>
      </w:r>
    </w:p>
    <w:p>
      <w:pPr>
        <w:spacing w:after="0" w:line="123"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issuer’s other certifying officer and I have disclosed, based on our most recent evaluation of internal control over financial reporting, to the issuer’s auditors and the audit committee of the issuer’s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issuer’s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March 28, 2022</w:t>
      </w:r>
      <w:r>
        <w:rPr>
          <w:sz w:val="20"/>
          <w:szCs w:val="20"/>
          <w:color w:val="auto"/>
        </w:rPr>
        <w:tab/>
      </w:r>
      <w:r>
        <w:rPr>
          <w:rFonts w:ascii="Arial" w:cs="Arial" w:eastAsia="Arial" w:hAnsi="Arial"/>
          <w:sz w:val="16"/>
          <w:szCs w:val="16"/>
          <w:color w:val="auto"/>
        </w:rPr>
        <w:t>/s/ Emiliano Grodzki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Emiliano Grodzki</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240"/>
          </w:cols>
          <w:pgMar w:left="320" w:top="112"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Lucas, certify that:</w:t>
      </w:r>
    </w:p>
    <w:p>
      <w:pPr>
        <w:spacing w:after="0" w:line="225" w:lineRule="exact"/>
        <w:rPr>
          <w:sz w:val="20"/>
          <w:szCs w:val="20"/>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 have reviewed this Annual Report on Form 40-F of Bitfarms Ltd. (the “issuer”);</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issuer’s other certifying officer and I are responsible for establishing and maintaining disclosure controls and procedures (as defined in Exchange Act Rules 13a-15(e) and 15d-15(e)) for the issuer and have:</w:t>
      </w:r>
    </w:p>
    <w:p>
      <w:pPr>
        <w:spacing w:after="0" w:line="170" w:lineRule="exact"/>
        <w:rPr>
          <w:rFonts w:ascii="Arial" w:cs="Arial" w:eastAsia="Arial" w:hAnsi="Arial"/>
          <w:sz w:val="18"/>
          <w:szCs w:val="18"/>
          <w:color w:val="auto"/>
        </w:rPr>
      </w:pPr>
    </w:p>
    <w:p>
      <w:pPr>
        <w:jc w:val="both"/>
        <w:ind w:left="980" w:right="20" w:hanging="324"/>
        <w:spacing w:after="0" w:line="263" w:lineRule="auto"/>
        <w:tabs>
          <w:tab w:leader="none" w:pos="9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980" w:hanging="324"/>
        <w:spacing w:after="0" w:line="342" w:lineRule="auto"/>
        <w:tabs>
          <w:tab w:leader="none" w:pos="98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disclosed in this report any change in the issuer’s internal control over financial reporting that occurred during the period covered by the annual report that has materially affected, or is reasonably likely to materially affect, the issuer's internal control over financial reporting; and</w:t>
      </w:r>
    </w:p>
    <w:p>
      <w:pPr>
        <w:spacing w:after="0" w:line="123"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issuer’s other certifying officer and I have disclosed, based on our most recent evaluation of internal control over financial reporting, to the issuer’s auditors and the audit committee of the issuer’s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issuer’s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March 28, 2022</w:t>
      </w:r>
      <w:r>
        <w:rPr>
          <w:sz w:val="20"/>
          <w:szCs w:val="20"/>
          <w:color w:val="auto"/>
        </w:rPr>
        <w:tab/>
      </w:r>
      <w:r>
        <w:rPr>
          <w:rFonts w:ascii="Arial" w:cs="Arial" w:eastAsia="Arial" w:hAnsi="Arial"/>
          <w:sz w:val="16"/>
          <w:szCs w:val="16"/>
          <w:color w:val="auto"/>
        </w:rPr>
        <w:t>/s/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Jeffrey Lucas</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121"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99.6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 connection with the Annual Report of Bitfarms Ltd. (the “Company”) on Form 40-F for the period ended December 31, 2021 as filed with the Securities and Exchange Commission on the date hereof (the “Report”), I, Emiliano Grodzki, Chief Executive Officer of the Company, certify, pursuant to 18 U.S.C. §1350, as adopted pursuant to Section 906 of the Sarbanes-Oxley Act of 2002, that, to my knowledge:</w:t>
      </w:r>
    </w:p>
    <w:p>
      <w:pPr>
        <w:spacing w:after="0" w:line="165" w:lineRule="exact"/>
        <w:rPr>
          <w:sz w:val="20"/>
          <w:szCs w:val="20"/>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140" w:firstLine="332"/>
        <w:spacing w:after="0" w:line="500" w:lineRule="auto"/>
        <w:tabs>
          <w:tab w:leader="none" w:pos="64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March 28, 2022</w:t>
      </w:r>
    </w:p>
    <w:p>
      <w:pPr>
        <w:spacing w:after="0" w:line="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Emiliano Grodzki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Emiliano Grodzki</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99.7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 connection with the Annual Report of Bitfarms Ltd. (the “Company”) on Form 40-F for the period ended December 31, 2021 as filed with the Securities and Exchange Commission on the date hereof (the “Report”), I, Jeffrey Lucas, Chief Financial Officer of the Company, certify, pursuant to 18 U.S.C. §1350, as adopted pursuant to Section 906 of the Sarbanes-Oxley Act of 2002, that, to my knowledge:</w:t>
      </w:r>
    </w:p>
    <w:p>
      <w:pPr>
        <w:spacing w:after="0" w:line="165" w:lineRule="exact"/>
        <w:rPr>
          <w:sz w:val="20"/>
          <w:szCs w:val="20"/>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140" w:firstLine="332"/>
        <w:spacing w:after="0" w:line="500" w:lineRule="auto"/>
        <w:tabs>
          <w:tab w:leader="none" w:pos="64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March 28, 2022</w:t>
      </w:r>
    </w:p>
    <w:p>
      <w:pPr>
        <w:spacing w:after="0" w:line="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Jeffrey Lucas</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22"/>
          <w:szCs w:val="22"/>
          <w:b w:val="1"/>
          <w:bCs w:val="1"/>
          <w:color w:val="auto"/>
        </w:rPr>
        <w:t>Exhibit 99.8</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We hereby consent to the incorporation by reference in the Annual Report on Form 40-F for the year ended December 31, 2021 of Bitfarms Ltd. of our report dated March 28, 2022, relating to the consolidated financial statements, which appears in Exhibit 99.2 to this Annual Report on Form 40-F.</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consent to the incorporation by reference in the Registration Statement on Form F-10 (No. 333-258788) of Bitfarms Ltd. of our report dated March 28, 2022 referred to above. We also consent to the references to us under the headings “Name of Experts” and “Interest of Experts”, which appears in the Annual Information Form included in the Exhibit 99.1 incorporated by reference in this Annual Report on Form 40-F, which is incorporated by reference in such Registration Statement.</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Chartered Professional Accountants, Licensed Public Accountants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Oakville, 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28, 2022</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lvl w:ilvl="1">
      <w:lvlJc w:val="left"/>
      <w:lvlText w:val="☐"/>
      <w:numFmt w:val="bullet"/>
      <w:start w:val="1"/>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
      <w:numFmt w:val="bullet"/>
      <w:start w:val="1"/>
    </w:lvl>
  </w:abstractNum>
  <w:abstractNum w:abstractNumId="3">
    <w:nsid w:val="42C296BD"/>
    <w:multiLevelType w:val="hybridMultilevel"/>
    <w:lvl w:ilvl="0">
      <w:lvlJc w:val="left"/>
      <w:lvlText w:val="%1"/>
      <w:numFmt w:val="decimal"/>
      <w:start w:val="104"/>
    </w:lvl>
  </w:abstractNum>
  <w:abstractNum w:abstractNumId="4">
    <w:nsid w:val="168E121F"/>
    <w:multiLevelType w:val="hybridMultilevel"/>
    <w:lvl w:ilvl="0">
      <w:lvlJc w:val="left"/>
      <w:lvlText w:val="●"/>
      <w:numFmt w:val="bullet"/>
      <w:start w:val="1"/>
    </w:lvl>
  </w:abstractNum>
  <w:abstractNum w:abstractNumId="5">
    <w:nsid w:val="1EBA5D23"/>
    <w:multiLevelType w:val="hybridMultilevel"/>
    <w:lvl w:ilvl="0">
      <w:lvlJc w:val="left"/>
      <w:lvlText w:val="●"/>
      <w:numFmt w:val="bullet"/>
      <w:start w:val="1"/>
    </w:lvl>
  </w:abstractNum>
  <w:abstractNum w:abstractNumId="6">
    <w:nsid w:val="661E3F1E"/>
    <w:multiLevelType w:val="hybridMultilevel"/>
    <w:lvl w:ilvl="0">
      <w:lvlJc w:val="left"/>
      <w:lvlText w:val="●"/>
      <w:numFmt w:val="bullet"/>
      <w:start w:val="1"/>
    </w:lvl>
  </w:abstractNum>
  <w:abstractNum w:abstractNumId="7">
    <w:nsid w:val="5DC79EA8"/>
    <w:multiLevelType w:val="hybridMultilevel"/>
    <w:lvl w:ilvl="0">
      <w:lvlJc w:val="left"/>
      <w:lvlText w:val="●"/>
      <w:numFmt w:val="bullet"/>
      <w:start w:val="1"/>
    </w:lvl>
    <w:lvl w:ilvl="1">
      <w:lvlJc w:val="left"/>
      <w:lvlText w:val="●"/>
      <w:numFmt w:val="bullet"/>
      <w:start w:val="1"/>
    </w:lvl>
  </w:abstractNum>
  <w:abstractNum w:abstractNumId="8">
    <w:nsid w:val="540A471C"/>
    <w:multiLevelType w:val="hybridMultilevel"/>
    <w:lvl w:ilvl="0">
      <w:lvlJc w:val="left"/>
      <w:lvlText w:val="●"/>
      <w:numFmt w:val="bullet"/>
      <w:start w:val="1"/>
    </w:lvl>
  </w:abstractNum>
  <w:abstractNum w:abstractNumId="9">
    <w:nsid w:val="7BD3EE7B"/>
    <w:multiLevelType w:val="hybridMultilevel"/>
    <w:lvl w:ilvl="0">
      <w:lvlJc w:val="left"/>
      <w:lvlText w:val="\endash "/>
      <w:numFmt w:val="bullet"/>
      <w:start w:val="1"/>
    </w:lvl>
  </w:abstractNum>
  <w:abstractNum w:abstractNumId="10">
    <w:nsid w:val="51D9C564"/>
    <w:multiLevelType w:val="hybridMultilevel"/>
    <w:lvl w:ilvl="0">
      <w:lvlJc w:val="left"/>
      <w:lvlText w:val="(%1)"/>
      <w:numFmt w:val="decimal"/>
      <w:start w:val="1"/>
    </w:lvl>
  </w:abstractNum>
  <w:abstractNum w:abstractNumId="11">
    <w:nsid w:val="613EFDC5"/>
    <w:multiLevelType w:val="hybridMultilevel"/>
    <w:lvl w:ilvl="0">
      <w:lvlJc w:val="left"/>
      <w:lvlText w:val="o"/>
      <w:numFmt w:val="bullet"/>
      <w:start w:val="1"/>
    </w:lvl>
  </w:abstractNum>
  <w:abstractNum w:abstractNumId="12">
    <w:nsid w:val="BF72B14"/>
    <w:multiLevelType w:val="hybridMultilevel"/>
    <w:lvl w:ilvl="0">
      <w:lvlJc w:val="left"/>
      <w:lvlText w:val="●"/>
      <w:numFmt w:val="bullet"/>
      <w:start w:val="1"/>
    </w:lvl>
  </w:abstractNum>
  <w:abstractNum w:abstractNumId="13">
    <w:nsid w:val="11447B73"/>
    <w:multiLevelType w:val="hybridMultilevel"/>
    <w:lvl w:ilvl="0">
      <w:lvlJc w:val="left"/>
      <w:lvlText w:val="●"/>
      <w:numFmt w:val="bullet"/>
      <w:start w:val="1"/>
    </w:lvl>
  </w:abstractNum>
  <w:abstractNum w:abstractNumId="14">
    <w:nsid w:val="42963E5A"/>
    <w:multiLevelType w:val="hybridMultilevel"/>
    <w:lvl w:ilvl="0">
      <w:lvlJc w:val="left"/>
      <w:lvlText w:val="●"/>
      <w:numFmt w:val="bullet"/>
      <w:start w:val="1"/>
    </w:lvl>
  </w:abstractNum>
  <w:abstractNum w:abstractNumId="15">
    <w:nsid w:val="A0382C5"/>
    <w:multiLevelType w:val="hybridMultilevel"/>
    <w:lvl w:ilvl="0">
      <w:lvlJc w:val="left"/>
      <w:lvlText w:val="●"/>
      <w:numFmt w:val="bullet"/>
      <w:start w:val="1"/>
    </w:lvl>
  </w:abstractNum>
  <w:abstractNum w:abstractNumId="16">
    <w:nsid w:val="8F2B15E"/>
    <w:multiLevelType w:val="hybridMultilevel"/>
    <w:lvl w:ilvl="0">
      <w:lvlJc w:val="left"/>
      <w:lvlText w:val="(%1)"/>
      <w:numFmt w:val="lowerLetter"/>
      <w:start w:val="1"/>
    </w:lvl>
  </w:abstractNum>
  <w:abstractNum w:abstractNumId="17">
    <w:nsid w:val="1A32234B"/>
    <w:multiLevelType w:val="hybridMultilevel"/>
    <w:lvl w:ilvl="0">
      <w:lvlJc w:val="left"/>
      <w:lvlText w:val="●"/>
      <w:numFmt w:val="bullet"/>
      <w:start w:val="1"/>
    </w:lvl>
  </w:abstractNum>
  <w:abstractNum w:abstractNumId="18">
    <w:nsid w:val="3B0FD379"/>
    <w:multiLevelType w:val="hybridMultilevel"/>
    <w:lvl w:ilvl="0">
      <w:lvlJc w:val="left"/>
      <w:lvlText w:val="●"/>
      <w:numFmt w:val="bullet"/>
      <w:start w:val="1"/>
    </w:lvl>
  </w:abstractNum>
  <w:abstractNum w:abstractNumId="19">
    <w:nsid w:val="68EB2F63"/>
    <w:multiLevelType w:val="hybridMultilevel"/>
    <w:lvl w:ilvl="0">
      <w:lvlJc w:val="left"/>
      <w:lvlText w:val="(%1)"/>
      <w:numFmt w:val="decimal"/>
      <w:start w:val="1"/>
    </w:lvl>
  </w:abstractNum>
  <w:abstractNum w:abstractNumId="20">
    <w:nsid w:val="4962813B"/>
    <w:multiLevelType w:val="hybridMultilevel"/>
    <w:lvl w:ilvl="0">
      <w:lvlJc w:val="left"/>
      <w:lvlText w:val="&amp;"/>
      <w:numFmt w:val="bullet"/>
      <w:start w:val="1"/>
    </w:lvl>
  </w:abstractNum>
  <w:abstractNum w:abstractNumId="21">
    <w:nsid w:val="60B6DF70"/>
    <w:multiLevelType w:val="hybridMultilevel"/>
    <w:lvl w:ilvl="0">
      <w:lvlJc w:val="left"/>
      <w:lvlText w:val="(%1)"/>
      <w:numFmt w:val="lowerLetter"/>
      <w:start w:val="1"/>
    </w:lvl>
  </w:abstractNum>
  <w:abstractNum w:abstractNumId="22">
    <w:nsid w:val="6A5EE64"/>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3">
    <w:nsid w:val="14330624"/>
    <w:multiLevelType w:val="hybridMultilevel"/>
    <w:lvl w:ilvl="0">
      <w:lvlJc w:val="left"/>
      <w:lvlText w:val="&amp;"/>
      <w:numFmt w:val="bullet"/>
      <w:start w:val="1"/>
    </w:lvl>
  </w:abstractNum>
  <w:abstractNum w:abstractNumId="24">
    <w:nsid w:val="7FFFCA11"/>
    <w:multiLevelType w:val="hybridMultilevel"/>
    <w:lvl w:ilvl="0">
      <w:lvlJc w:val="left"/>
      <w:lvlText w:val="(%1)"/>
      <w:numFmt w:val="decimal"/>
      <w:start w:val="1"/>
    </w:lvl>
  </w:abstractNum>
  <w:abstractNum w:abstractNumId="25">
    <w:nsid w:val="1A27709E"/>
    <w:multiLevelType w:val="hybridMultilevel"/>
    <w:lvl w:ilvl="0">
      <w:lvlJc w:val="left"/>
      <w:lvlText w:val="●"/>
      <w:numFmt w:val="bullet"/>
      <w:start w:val="1"/>
    </w:lvl>
  </w:abstractNum>
  <w:abstractNum w:abstractNumId="26">
    <w:nsid w:val="71EA1109"/>
    <w:multiLevelType w:val="hybridMultilevel"/>
    <w:lvl w:ilvl="0">
      <w:lvlJc w:val="left"/>
      <w:lvlText w:val="(%1)"/>
      <w:numFmt w:val="decimal"/>
      <w:start w:val="1"/>
    </w:lvl>
  </w:abstractNum>
  <w:abstractNum w:abstractNumId="27">
    <w:nsid w:val="100F59DC"/>
    <w:multiLevelType w:val="hybridMultilevel"/>
    <w:lvl w:ilvl="0">
      <w:lvlJc w:val="left"/>
      <w:lvlText w:val="%1."/>
      <w:numFmt w:val="decimal"/>
      <w:start w:val="1"/>
    </w:lvl>
  </w:abstractNum>
  <w:abstractNum w:abstractNumId="28">
    <w:nsid w:val="7FB7E0AA"/>
    <w:multiLevelType w:val="hybridMultilevel"/>
    <w:lvl w:ilvl="0">
      <w:lvlJc w:val="left"/>
      <w:lvlText w:val="%1."/>
      <w:numFmt w:val="decimal"/>
      <w:start w:val="5"/>
    </w:lvl>
    <w:lvl w:ilvl="1">
      <w:lvlJc w:val="left"/>
      <w:lvlText w:val="%2."/>
      <w:numFmt w:val="decimal"/>
      <w:start w:val="7"/>
    </w:lvl>
  </w:abstractNum>
  <w:abstractNum w:abstractNumId="29">
    <w:nsid w:val="6EB5BD4"/>
    <w:multiLevelType w:val="hybridMultilevel"/>
    <w:lvl w:ilvl="0">
      <w:lvlJc w:val="left"/>
      <w:lvlText w:val="%1."/>
      <w:numFmt w:val="decimal"/>
      <w:start w:val="1"/>
    </w:lvl>
  </w:abstractNum>
  <w:abstractNum w:abstractNumId="30">
    <w:nsid w:val="6F6DD9AC"/>
    <w:multiLevelType w:val="hybridMultilevel"/>
    <w:lvl w:ilvl="0">
      <w:lvlJc w:val="left"/>
      <w:lvlText w:val="%1."/>
      <w:numFmt w:val="decimal"/>
      <w:start w:val="2"/>
    </w:lvl>
  </w:abstractNum>
  <w:abstractNum w:abstractNumId="31">
    <w:nsid w:val="94211F2"/>
    <w:multiLevelType w:val="hybridMultilevel"/>
    <w:lvl w:ilvl="0">
      <w:lvlJc w:val="left"/>
      <w:lvlText w:val="(%1)"/>
      <w:numFmt w:val="lowerLetter"/>
      <w:start w:val="1"/>
    </w:lvl>
  </w:abstractNum>
  <w:abstractNum w:abstractNumId="32">
    <w:nsid w:val="885E1B"/>
    <w:multiLevelType w:val="hybridMultilevel"/>
    <w:lvl w:ilvl="0">
      <w:lvlJc w:val="left"/>
      <w:lvlText w:val="(%1)"/>
      <w:numFmt w:val="lowerLetter"/>
      <w:start w:val="1"/>
    </w:lvl>
  </w:abstractNum>
  <w:abstractNum w:abstractNumId="33">
    <w:nsid w:val="76272110"/>
    <w:multiLevelType w:val="hybridMultilevel"/>
    <w:lvl w:ilvl="0">
      <w:lvlJc w:val="left"/>
      <w:lvlText w:val="(%1)"/>
      <w:numFmt w:val="lowerLetter"/>
      <w:start w:val="1"/>
    </w:lvl>
  </w:abstractNum>
  <w:abstractNum w:abstractNumId="34">
    <w:nsid w:val="4C04A8AF"/>
    <w:multiLevelType w:val="hybridMultilevel"/>
    <w:lvl w:ilvl="0">
      <w:lvlJc w:val="left"/>
      <w:lvlText w:val="(%1)"/>
      <w:numFmt w:val="lowerLetter"/>
      <w:start w:val="5"/>
    </w:lvl>
    <w:lvl w:ilvl="1">
      <w:lvlJc w:val="left"/>
      <w:lvlText w:val="(%2)"/>
      <w:numFmt w:val="lowerLetter"/>
      <w:start w:val="7"/>
    </w:lvl>
  </w:abstractNum>
  <w:abstractNum w:abstractNumId="35">
    <w:nsid w:val="1716703B"/>
    <w:multiLevelType w:val="hybridMultilevel"/>
    <w:lvl w:ilvl="0">
      <w:lvlJc w:val="left"/>
      <w:lvlText w:val="(%1)"/>
      <w:numFmt w:val="lowerLetter"/>
      <w:start w:val="1"/>
    </w:lvl>
  </w:abstractNum>
  <w:abstractNum w:abstractNumId="36">
    <w:nsid w:val="14E17E33"/>
    <w:multiLevelType w:val="hybridMultilevel"/>
    <w:lvl w:ilvl="0">
      <w:lvlJc w:val="left"/>
      <w:lvlText w:val="(%1)"/>
      <w:numFmt w:val="lowerLetter"/>
      <w:start w:val="7"/>
    </w:lvl>
  </w:abstractNum>
  <w:abstractNum w:abstractNumId="37">
    <w:nsid w:val="3222E7CD"/>
    <w:multiLevelType w:val="hybridMultilevel"/>
    <w:lvl w:ilvl="0">
      <w:lvlJc w:val="left"/>
      <w:lvlText w:val="(%1)"/>
      <w:numFmt w:val="lowerLetter"/>
      <w:start w:val="13"/>
    </w:lvl>
  </w:abstractNum>
  <w:abstractNum w:abstractNumId="38">
    <w:nsid w:val="74DE0EE3"/>
    <w:multiLevelType w:val="hybridMultilevel"/>
    <w:lvl w:ilvl="0">
      <w:lvlJc w:val="left"/>
      <w:lvlText w:val="(%1)"/>
      <w:numFmt w:val="lowerLetter"/>
      <w:start w:val="1"/>
    </w:lvl>
    <w:lvl w:ilvl="1">
      <w:lvlJc w:val="left"/>
      <w:lvlText w:val="(%2)"/>
      <w:numFmt w:val="lowerLetter"/>
      <w:start w:val="5"/>
    </w:lvl>
  </w:abstractNum>
  <w:abstractNum w:abstractNumId="39">
    <w:nsid w:val="68EBC550"/>
    <w:multiLevelType w:val="hybridMultilevel"/>
    <w:lvl w:ilvl="0">
      <w:lvlJc w:val="left"/>
      <w:lvlText w:val="(%1)"/>
      <w:numFmt w:val="lowerLetter"/>
      <w:start w:val="1"/>
    </w:lvl>
    <w:lvl w:ilvl="1">
      <w:lvlJc w:val="left"/>
      <w:lvlText w:val="(%2)"/>
      <w:numFmt w:val="lowerLetter"/>
      <w:start w:val="4"/>
    </w:lvl>
  </w:abstractNum>
  <w:abstractNum w:abstractNumId="40">
    <w:nsid w:val="2DF6D648"/>
    <w:multiLevelType w:val="hybridMultilevel"/>
    <w:lvl w:ilvl="0">
      <w:lvlJc w:val="left"/>
      <w:lvlText w:val="(%1)"/>
      <w:numFmt w:val="lowerLetter"/>
      <w:start w:val="1"/>
    </w:lvl>
  </w:abstractNum>
  <w:abstractNum w:abstractNumId="41">
    <w:nsid w:val="46B7D447"/>
    <w:multiLevelType w:val="hybridMultilevel"/>
    <w:lvl w:ilvl="0">
      <w:lvlJc w:val="left"/>
      <w:lvlText w:val="%1."/>
      <w:numFmt w:val="decimal"/>
      <w:start w:val="1"/>
    </w:lvl>
    <w:lvl w:ilvl="1">
      <w:lvlJc w:val="left"/>
      <w:lvlText w:val="(%2)"/>
      <w:numFmt w:val="lowerLetter"/>
      <w:start w:val="1"/>
    </w:lvl>
  </w:abstractNum>
  <w:abstractNum w:abstractNumId="42">
    <w:nsid w:val="4A2AC315"/>
    <w:multiLevelType w:val="hybridMultilevel"/>
    <w:lvl w:ilvl="0">
      <w:lvlJc w:val="left"/>
      <w:lvlText w:val="%1."/>
      <w:numFmt w:val="lowerLetter"/>
      <w:start w:val="1"/>
    </w:lvl>
  </w:abstractNum>
  <w:abstractNum w:abstractNumId="43">
    <w:nsid w:val="39EE015C"/>
    <w:multiLevelType w:val="hybridMultilevel"/>
    <w:lvl w:ilvl="0">
      <w:lvlJc w:val="left"/>
      <w:lvlText w:val="%1."/>
      <w:numFmt w:val="lowerLetter"/>
      <w:start w:val="1"/>
    </w:lvl>
  </w:abstractNum>
  <w:abstractNum w:abstractNumId="44">
    <w:nsid w:val="57FC4FBB"/>
    <w:multiLevelType w:val="hybridMultilevel"/>
    <w:lvl w:ilvl="0">
      <w:lvlJc w:val="left"/>
      <w:lvlText w:val="%1."/>
      <w:numFmt w:val="lowerLetter"/>
      <w:start w:val="2"/>
    </w:lvl>
  </w:abstractNum>
  <w:abstractNum w:abstractNumId="45">
    <w:nsid w:val="CC1016F"/>
    <w:multiLevelType w:val="hybridMultilevel"/>
    <w:lvl w:ilvl="0">
      <w:lvlJc w:val="left"/>
      <w:lvlText w:val="%1."/>
      <w:numFmt w:val="lowerLetter"/>
      <w:start w:val="3"/>
    </w:lvl>
  </w:abstractNum>
  <w:abstractNum w:abstractNumId="46">
    <w:nsid w:val="43F18422"/>
    <w:multiLevelType w:val="hybridMultilevel"/>
    <w:lvl w:ilvl="0">
      <w:lvlJc w:val="left"/>
      <w:lvlText w:val="%1."/>
      <w:numFmt w:val="lowerLetter"/>
      <w:start w:val="4"/>
    </w:lvl>
  </w:abstractNum>
  <w:abstractNum w:abstractNumId="47">
    <w:nsid w:val="60EF0119"/>
    <w:multiLevelType w:val="hybridMultilevel"/>
    <w:lvl w:ilvl="0">
      <w:lvlJc w:val="left"/>
      <w:lvlText w:val="%1."/>
      <w:numFmt w:val="lowerLetter"/>
      <w:start w:val="5"/>
    </w:lvl>
  </w:abstractNum>
  <w:abstractNum w:abstractNumId="48">
    <w:nsid w:val="26F324BA"/>
    <w:multiLevelType w:val="hybridMultilevel"/>
    <w:lvl w:ilvl="0">
      <w:lvlJc w:val="left"/>
      <w:lvlText w:val="%1."/>
      <w:numFmt w:val="decimal"/>
      <w:start w:val="1"/>
    </w:lvl>
  </w:abstractNum>
  <w:abstractNum w:abstractNumId="49">
    <w:nsid w:val="7F01579B"/>
    <w:multiLevelType w:val="hybridMultilevel"/>
    <w:lvl w:ilvl="0">
      <w:lvlJc w:val="left"/>
      <w:lvlText w:val="%1."/>
      <w:numFmt w:val="decimal"/>
      <w:start w:val="2"/>
    </w:lvl>
  </w:abstractNum>
  <w:abstractNum w:abstractNumId="50">
    <w:nsid w:val="49DA307D"/>
    <w:multiLevelType w:val="hybridMultilevel"/>
    <w:lvl w:ilvl="0">
      <w:lvlJc w:val="left"/>
      <w:lvlText w:val="%1."/>
      <w:numFmt w:val="lowerLetter"/>
      <w:start w:val="6"/>
    </w:lvl>
  </w:abstractNum>
  <w:abstractNum w:abstractNumId="51">
    <w:nsid w:val="7055A5F5"/>
    <w:multiLevelType w:val="hybridMultilevel"/>
    <w:lvl w:ilvl="0">
      <w:lvlJc w:val="left"/>
      <w:lvlText w:val="%1."/>
      <w:numFmt w:val="decimal"/>
      <w:start w:val="1"/>
    </w:lvl>
  </w:abstractNum>
  <w:abstractNum w:abstractNumId="52">
    <w:nsid w:val="5FB8370B"/>
    <w:multiLevelType w:val="hybridMultilevel"/>
    <w:lvl w:ilvl="0">
      <w:lvlJc w:val="left"/>
      <w:lvlText w:val="%1."/>
      <w:numFmt w:val="decimal"/>
      <w:start w:val="2"/>
    </w:lvl>
  </w:abstractNum>
  <w:abstractNum w:abstractNumId="53">
    <w:nsid w:val="50801EE1"/>
    <w:multiLevelType w:val="hybridMultilevel"/>
    <w:lvl w:ilvl="0">
      <w:lvlJc w:val="left"/>
      <w:lvlText w:val="%1."/>
      <w:numFmt w:val="decimal"/>
      <w:start w:val="3"/>
    </w:lvl>
  </w:abstractNum>
  <w:abstractNum w:abstractNumId="54">
    <w:nsid w:val="488AC1A"/>
    <w:multiLevelType w:val="hybridMultilevel"/>
    <w:lvl w:ilvl="0">
      <w:lvlJc w:val="left"/>
      <w:lvlText w:val="%1."/>
      <w:numFmt w:val="lowerLetter"/>
      <w:start w:val="7"/>
    </w:lvl>
  </w:abstractNum>
  <w:abstractNum w:abstractNumId="55">
    <w:nsid w:val="5FB8011C"/>
    <w:multiLevelType w:val="hybridMultilevel"/>
    <w:lvl w:ilvl="0">
      <w:lvlJc w:val="left"/>
      <w:lvlText w:val="%1."/>
      <w:numFmt w:val="decimal"/>
      <w:start w:val="1"/>
    </w:lvl>
  </w:abstractNum>
  <w:abstractNum w:abstractNumId="56">
    <w:nsid w:val="6AA78F7F"/>
    <w:multiLevelType w:val="hybridMultilevel"/>
    <w:lvl w:ilvl="0">
      <w:lvlJc w:val="left"/>
      <w:lvlText w:val="%1."/>
      <w:numFmt w:val="decimal"/>
      <w:start w:val="2"/>
    </w:lvl>
  </w:abstractNum>
  <w:abstractNum w:abstractNumId="57">
    <w:nsid w:val="7672BD23"/>
    <w:multiLevelType w:val="hybridMultilevel"/>
    <w:lvl w:ilvl="0">
      <w:lvlJc w:val="left"/>
      <w:lvlText w:val="%1."/>
      <w:numFmt w:val="lowerLetter"/>
      <w:start w:val="8"/>
    </w:lvl>
  </w:abstractNum>
  <w:abstractNum w:abstractNumId="58">
    <w:nsid w:val="6FC75AF8"/>
    <w:multiLevelType w:val="hybridMultilevel"/>
    <w:lvl w:ilvl="0">
      <w:lvlJc w:val="left"/>
      <w:lvlText w:val="%1."/>
      <w:numFmt w:val="decimal"/>
      <w:start w:val="1"/>
    </w:lvl>
  </w:abstractNum>
  <w:abstractNum w:abstractNumId="59">
    <w:nsid w:val="6A5F7029"/>
    <w:multiLevelType w:val="hybridMultilevel"/>
    <w:lvl w:ilvl="0">
      <w:lvlJc w:val="left"/>
      <w:lvlText w:val="%1."/>
      <w:numFmt w:val="decimal"/>
      <w:start w:val="2"/>
    </w:lvl>
  </w:abstractNum>
  <w:abstractNum w:abstractNumId="60">
    <w:nsid w:val="7D5E18F8"/>
    <w:multiLevelType w:val="hybridMultilevel"/>
    <w:lvl w:ilvl="0">
      <w:lvlJc w:val="left"/>
      <w:lvlText w:val="%1."/>
      <w:numFmt w:val="decimal"/>
      <w:start w:val="3"/>
    </w:lvl>
  </w:abstractNum>
  <w:abstractNum w:abstractNumId="61">
    <w:nsid w:val="5F3534A4"/>
    <w:multiLevelType w:val="hybridMultilevel"/>
    <w:lvl w:ilvl="0">
      <w:lvlJc w:val="left"/>
      <w:lvlText w:val="%1."/>
      <w:numFmt w:val="lowerRoman"/>
      <w:start w:val="1"/>
    </w:lvl>
  </w:abstractNum>
  <w:abstractNum w:abstractNumId="62">
    <w:nsid w:val="73A1821B"/>
    <w:multiLevelType w:val="hybridMultilevel"/>
    <w:lvl w:ilvl="0">
      <w:lvlJc w:val="left"/>
      <w:lvlText w:val="%1."/>
      <w:numFmt w:val="lowerLetter"/>
      <w:start w:val="10"/>
    </w:lvl>
  </w:abstractNum>
  <w:abstractNum w:abstractNumId="63">
    <w:nsid w:val="7DE67713"/>
    <w:multiLevelType w:val="hybridMultilevel"/>
    <w:lvl w:ilvl="0">
      <w:lvlJc w:val="left"/>
      <w:lvlText w:val="*"/>
      <w:numFmt w:val="bullet"/>
      <w:start w:val="1"/>
    </w:lvl>
  </w:abstractNum>
  <w:abstractNum w:abstractNumId="64">
    <w:nsid w:val="555C55B5"/>
    <w:multiLevelType w:val="hybridMultilevel"/>
    <w:lvl w:ilvl="0">
      <w:lvlJc w:val="left"/>
      <w:lvlText w:val="%1."/>
      <w:numFmt w:val="lowerLetter"/>
      <w:start w:val="12"/>
    </w:lvl>
  </w:abstractNum>
  <w:abstractNum w:abstractNumId="65">
    <w:nsid w:val="3FA62ACA"/>
    <w:multiLevelType w:val="hybridMultilevel"/>
    <w:lvl w:ilvl="0">
      <w:lvlJc w:val="left"/>
      <w:lvlText w:val="%1."/>
      <w:numFmt w:val="lowerLetter"/>
      <w:start w:val="13"/>
    </w:lvl>
    <w:lvl w:ilvl="1">
      <w:lvlJc w:val="left"/>
      <w:lvlText w:val="%2."/>
      <w:numFmt w:val="decimal"/>
      <w:start w:val="1"/>
    </w:lvl>
  </w:abstractNum>
  <w:abstractNum w:abstractNumId="66">
    <w:nsid w:val="14FCE74E"/>
    <w:multiLevelType w:val="hybridMultilevel"/>
    <w:lvl w:ilvl="0">
      <w:lvlJc w:val="left"/>
      <w:lvlText w:val="%1."/>
      <w:numFmt w:val="decimal"/>
      <w:start w:val="2"/>
    </w:lvl>
  </w:abstractNum>
  <w:abstractNum w:abstractNumId="67">
    <w:nsid w:val="6A3DD3E8"/>
    <w:multiLevelType w:val="hybridMultilevel"/>
    <w:lvl w:ilvl="0">
      <w:lvlJc w:val="left"/>
      <w:lvlText w:val="%1."/>
      <w:numFmt w:val="decimal"/>
      <w:start w:val="3"/>
    </w:lvl>
  </w:abstractNum>
  <w:abstractNum w:abstractNumId="68">
    <w:nsid w:val="71C91298"/>
    <w:multiLevelType w:val="hybridMultilevel"/>
    <w:lvl w:ilvl="0">
      <w:lvlJc w:val="left"/>
      <w:lvlText w:val="%1."/>
      <w:numFmt w:val="decimal"/>
      <w:start w:val="4"/>
    </w:lvl>
  </w:abstractNum>
  <w:abstractNum w:abstractNumId="69">
    <w:nsid w:val="9DAF632"/>
    <w:multiLevelType w:val="hybridMultilevel"/>
    <w:lvl w:ilvl="0">
      <w:lvlJc w:val="left"/>
      <w:lvlText w:val="%1."/>
      <w:numFmt w:val="lowerLetter"/>
      <w:start w:val="14"/>
    </w:lvl>
  </w:abstractNum>
  <w:abstractNum w:abstractNumId="70">
    <w:nsid w:val="53299938"/>
    <w:multiLevelType w:val="hybridMultilevel"/>
    <w:lvl w:ilvl="0">
      <w:lvlJc w:val="left"/>
      <w:lvlText w:val="%1."/>
      <w:numFmt w:val="lowerLetter"/>
      <w:start w:val="15"/>
    </w:lvl>
  </w:abstractNum>
  <w:abstractNum w:abstractNumId="71">
    <w:nsid w:val="1FBFE8E0"/>
    <w:multiLevelType w:val="hybridMultilevel"/>
    <w:lvl w:ilvl="0">
      <w:lvlJc w:val="left"/>
      <w:lvlText w:val="%1."/>
      <w:numFmt w:val="lowerLetter"/>
      <w:start w:val="16"/>
    </w:lvl>
  </w:abstractNum>
  <w:abstractNum w:abstractNumId="72">
    <w:nsid w:val="5092CA79"/>
    <w:multiLevelType w:val="hybridMultilevel"/>
    <w:lvl w:ilvl="0">
      <w:lvlJc w:val="left"/>
      <w:lvlText w:val="%1."/>
      <w:numFmt w:val="lowerLetter"/>
      <w:start w:val="17"/>
    </w:lvl>
  </w:abstractNum>
  <w:abstractNum w:abstractNumId="73">
    <w:nsid w:val="1D545C4D"/>
    <w:multiLevelType w:val="hybridMultilevel"/>
    <w:lvl w:ilvl="0">
      <w:lvlJc w:val="left"/>
      <w:lvlText w:val="%1."/>
      <w:numFmt w:val="lowerLetter"/>
      <w:start w:val="18"/>
    </w:lvl>
  </w:abstractNum>
  <w:abstractNum w:abstractNumId="74">
    <w:nsid w:val="59ADEA3D"/>
    <w:multiLevelType w:val="hybridMultilevel"/>
    <w:lvl w:ilvl="0">
      <w:lvlJc w:val="left"/>
      <w:lvlText w:val="%1."/>
      <w:numFmt w:val="lowerLetter"/>
      <w:start w:val="19"/>
    </w:lvl>
  </w:abstractNum>
  <w:abstractNum w:abstractNumId="75">
    <w:nsid w:val="288F1A34"/>
    <w:multiLevelType w:val="hybridMultilevel"/>
    <w:lvl w:ilvl="0">
      <w:lvlJc w:val="left"/>
      <w:lvlText w:val="%1."/>
      <w:numFmt w:val="lowerLetter"/>
      <w:start w:val="20"/>
    </w:lvl>
  </w:abstractNum>
  <w:abstractNum w:abstractNumId="76">
    <w:nsid w:val="2A155DBC"/>
    <w:multiLevelType w:val="hybridMultilevel"/>
    <w:lvl w:ilvl="0">
      <w:lvlJc w:val="left"/>
      <w:lvlText w:val="%1."/>
      <w:numFmt w:val="lowerLetter"/>
      <w:start w:val="1"/>
    </w:lvl>
  </w:abstractNum>
  <w:abstractNum w:abstractNumId="77">
    <w:nsid w:val="1D9F6E5F"/>
    <w:multiLevelType w:val="hybridMultilevel"/>
    <w:lvl w:ilvl="0">
      <w:lvlJc w:val="left"/>
      <w:lvlText w:val="%1."/>
      <w:numFmt w:val="lowerLetter"/>
      <w:start w:val="2"/>
    </w:lvl>
  </w:abstractNum>
  <w:abstractNum w:abstractNumId="78">
    <w:nsid w:val="97E1B4E"/>
    <w:multiLevelType w:val="hybridMultilevel"/>
    <w:lvl w:ilvl="0">
      <w:lvlJc w:val="left"/>
      <w:lvlText w:val="*"/>
      <w:numFmt w:val="bullet"/>
      <w:start w:val="1"/>
    </w:lvl>
  </w:abstractNum>
  <w:abstractNum w:abstractNumId="79">
    <w:nsid w:val="51088277"/>
    <w:multiLevelType w:val="hybridMultilevel"/>
    <w:lvl w:ilvl="0">
      <w:lvlJc w:val="left"/>
      <w:lvlText w:val="%1."/>
      <w:numFmt w:val="lowerLetter"/>
      <w:start w:val="1"/>
    </w:lvl>
  </w:abstractNum>
  <w:abstractNum w:abstractNumId="80">
    <w:nsid w:val="1CA0C5FA"/>
    <w:multiLevelType w:val="hybridMultilevel"/>
    <w:lvl w:ilvl="0">
      <w:lvlJc w:val="left"/>
      <w:lvlText w:val="%1."/>
      <w:numFmt w:val="lowerLetter"/>
      <w:start w:val="2"/>
    </w:lvl>
  </w:abstractNum>
  <w:abstractNum w:abstractNumId="81">
    <w:nsid w:val="53584BCB"/>
    <w:multiLevelType w:val="hybridMultilevel"/>
    <w:lvl w:ilvl="0">
      <w:lvlJc w:val="left"/>
      <w:lvlText w:val="%1."/>
      <w:numFmt w:val="lowerLetter"/>
      <w:start w:val="3"/>
    </w:lvl>
  </w:abstractNum>
  <w:abstractNum w:abstractNumId="82">
    <w:nsid w:val="415E286C"/>
    <w:multiLevelType w:val="hybridMultilevel"/>
    <w:lvl w:ilvl="0">
      <w:lvlJc w:val="left"/>
      <w:lvlText w:val="*"/>
      <w:numFmt w:val="bullet"/>
      <w:start w:val="1"/>
    </w:lvl>
  </w:abstractNum>
  <w:abstractNum w:abstractNumId="83">
    <w:nsid w:val="7C58FD05"/>
    <w:multiLevelType w:val="hybridMultilevel"/>
    <w:lvl w:ilvl="0">
      <w:lvlJc w:val="left"/>
      <w:lvlText w:val="***"/>
      <w:numFmt w:val="bullet"/>
      <w:start w:val="1"/>
    </w:lvl>
  </w:abstractNum>
  <w:abstractNum w:abstractNumId="84">
    <w:nsid w:val="23D86AAC"/>
    <w:multiLevelType w:val="hybridMultilevel"/>
    <w:lvl w:ilvl="0">
      <w:lvlJc w:val="left"/>
      <w:lvlText w:val="%1."/>
      <w:numFmt w:val="lowerLetter"/>
      <w:start w:val="4"/>
    </w:lvl>
  </w:abstractNum>
  <w:abstractNum w:abstractNumId="85">
    <w:nsid w:val="45E6D486"/>
    <w:multiLevelType w:val="hybridMultilevel"/>
    <w:lvl w:ilvl="0">
      <w:lvlJc w:val="left"/>
      <w:lvlText w:val="*"/>
      <w:numFmt w:val="bullet"/>
      <w:start w:val="1"/>
    </w:lvl>
  </w:abstractNum>
  <w:abstractNum w:abstractNumId="86">
    <w:nsid w:val="5C10FE21"/>
    <w:multiLevelType w:val="hybridMultilevel"/>
    <w:lvl w:ilvl="0">
      <w:lvlJc w:val="left"/>
      <w:lvlText w:val="$"/>
      <w:numFmt w:val="bullet"/>
      <w:start w:val="1"/>
    </w:lvl>
  </w:abstractNum>
  <w:abstractNum w:abstractNumId="87">
    <w:nsid w:val="E7FFA2B"/>
    <w:multiLevelType w:val="hybridMultilevel"/>
    <w:lvl w:ilvl="0">
      <w:lvlJc w:val="left"/>
      <w:lvlText w:val="$"/>
      <w:numFmt w:val="bullet"/>
      <w:start w:val="1"/>
    </w:lvl>
  </w:abstractNum>
  <w:abstractNum w:abstractNumId="88">
    <w:nsid w:val="3C5991AA"/>
    <w:multiLevelType w:val="hybridMultilevel"/>
    <w:lvl w:ilvl="0">
      <w:lvlJc w:val="left"/>
      <w:lvlText w:val="%1."/>
      <w:numFmt w:val="lowerLetter"/>
      <w:start w:val="1"/>
    </w:lvl>
  </w:abstractNum>
  <w:abstractNum w:abstractNumId="89">
    <w:nsid w:val="4BD8591A"/>
    <w:multiLevelType w:val="hybridMultilevel"/>
    <w:lvl w:ilvl="0">
      <w:lvlJc w:val="left"/>
      <w:lvlText w:val="%1)"/>
      <w:numFmt w:val="lowerLetter"/>
      <w:start w:val="1"/>
    </w:lvl>
  </w:abstractNum>
  <w:abstractNum w:abstractNumId="90">
    <w:nsid w:val="78DF6A55"/>
    <w:multiLevelType w:val="hybridMultilevel"/>
    <w:lvl w:ilvl="0">
      <w:lvlJc w:val="left"/>
      <w:lvlText w:val="%1)"/>
      <w:numFmt w:val="lowerLetter"/>
      <w:start w:val="2"/>
    </w:lvl>
  </w:abstractNum>
  <w:abstractNum w:abstractNumId="91">
    <w:nsid w:val="39B7AAA2"/>
    <w:multiLevelType w:val="hybridMultilevel"/>
    <w:lvl w:ilvl="0">
      <w:lvlJc w:val="left"/>
      <w:lvlText w:val="*"/>
      <w:numFmt w:val="bullet"/>
      <w:start w:val="1"/>
    </w:lvl>
  </w:abstractNum>
  <w:abstractNum w:abstractNumId="92">
    <w:nsid w:val="2B0D8DBE"/>
    <w:multiLevelType w:val="hybridMultilevel"/>
    <w:lvl w:ilvl="0">
      <w:lvlJc w:val="left"/>
      <w:lvlText w:val="*"/>
      <w:numFmt w:val="bullet"/>
      <w:start w:val="1"/>
    </w:lvl>
  </w:abstractNum>
  <w:abstractNum w:abstractNumId="93">
    <w:nsid w:val="6C80EC70"/>
    <w:multiLevelType w:val="hybridMultilevel"/>
    <w:lvl w:ilvl="0">
      <w:lvlJc w:val="left"/>
      <w:lvlText w:val="%1."/>
      <w:numFmt w:val="lowerLetter"/>
      <w:start w:val="1"/>
    </w:lvl>
  </w:abstractNum>
  <w:abstractNum w:abstractNumId="94">
    <w:nsid w:val="379E21B5"/>
    <w:multiLevelType w:val="hybridMultilevel"/>
    <w:lvl w:ilvl="0">
      <w:lvlJc w:val="left"/>
      <w:lvlText w:val="%1."/>
      <w:numFmt w:val="lowerLetter"/>
      <w:start w:val="2"/>
    </w:lvl>
  </w:abstractNum>
  <w:abstractNum w:abstractNumId="95">
    <w:nsid w:val="69E373"/>
    <w:multiLevelType w:val="hybridMultilevel"/>
    <w:lvl w:ilvl="0">
      <w:lvlJc w:val="left"/>
      <w:lvlText w:val="%1."/>
      <w:numFmt w:val="lowerLetter"/>
      <w:start w:val="3"/>
    </w:lvl>
  </w:abstractNum>
  <w:abstractNum w:abstractNumId="96">
    <w:nsid w:val="2C27173B"/>
    <w:multiLevelType w:val="hybridMultilevel"/>
    <w:lvl w:ilvl="0">
      <w:lvlJc w:val="left"/>
      <w:lvlText w:val="*"/>
      <w:numFmt w:val="bullet"/>
      <w:start w:val="1"/>
    </w:lvl>
  </w:abstractNum>
  <w:abstractNum w:abstractNumId="97">
    <w:nsid w:val="4C9B0904"/>
    <w:multiLevelType w:val="hybridMultilevel"/>
    <w:lvl w:ilvl="0">
      <w:lvlJc w:val="left"/>
      <w:lvlText w:val="%1."/>
      <w:numFmt w:val="lowerLetter"/>
      <w:start w:val="1"/>
    </w:lvl>
  </w:abstractNum>
  <w:abstractNum w:abstractNumId="98">
    <w:nsid w:val="6AA7B75C"/>
    <w:multiLevelType w:val="hybridMultilevel"/>
    <w:lvl w:ilvl="0">
      <w:lvlJc w:val="left"/>
      <w:lvlText w:val="%1."/>
      <w:numFmt w:val="lowerLetter"/>
      <w:start w:val="2"/>
    </w:lvl>
  </w:abstractNum>
  <w:abstractNum w:abstractNumId="99">
    <w:nsid w:val="1DF029D3"/>
    <w:multiLevelType w:val="hybridMultilevel"/>
    <w:lvl w:ilvl="0">
      <w:lvlJc w:val="left"/>
      <w:lvlText w:val="%1."/>
      <w:numFmt w:val="lowerLetter"/>
      <w:start w:val="3"/>
    </w:lvl>
  </w:abstractNum>
  <w:abstractNum w:abstractNumId="100">
    <w:nsid w:val="5675FF36"/>
    <w:multiLevelType w:val="hybridMultilevel"/>
    <w:lvl w:ilvl="0">
      <w:lvlJc w:val="left"/>
      <w:lvlText w:val="%1."/>
      <w:numFmt w:val="lowerLetter"/>
      <w:start w:val="4"/>
    </w:lvl>
  </w:abstractNum>
  <w:abstractNum w:abstractNumId="101">
    <w:nsid w:val="3DD15094"/>
    <w:multiLevelType w:val="hybridMultilevel"/>
    <w:lvl w:ilvl="0">
      <w:lvlJc w:val="left"/>
      <w:lvlText w:val="%1."/>
      <w:numFmt w:val="lowerLetter"/>
      <w:start w:val="5"/>
    </w:lvl>
  </w:abstractNum>
  <w:abstractNum w:abstractNumId="102">
    <w:nsid w:val="3DB012B3"/>
    <w:multiLevelType w:val="hybridMultilevel"/>
    <w:lvl w:ilvl="0">
      <w:lvlJc w:val="left"/>
      <w:lvlText w:val="%1."/>
      <w:numFmt w:val="lowerLetter"/>
      <w:start w:val="6"/>
    </w:lvl>
  </w:abstractNum>
  <w:abstractNum w:abstractNumId="103">
    <w:nsid w:val="2708C9AF"/>
    <w:multiLevelType w:val="hybridMultilevel"/>
    <w:lvl w:ilvl="0">
      <w:lvlJc w:val="left"/>
      <w:lvlText w:val="%1."/>
      <w:numFmt w:val="lowerLetter"/>
      <w:start w:val="2"/>
    </w:lvl>
    <w:lvl w:ilvl="1">
      <w:lvlJc w:val="left"/>
      <w:lvlText w:val="%2."/>
      <w:numFmt w:val="decimal"/>
      <w:start w:val="1"/>
    </w:lvl>
  </w:abstractNum>
  <w:abstractNum w:abstractNumId="104">
    <w:nsid w:val="5B25ACE2"/>
    <w:multiLevelType w:val="hybridMultilevel"/>
    <w:lvl w:ilvl="0">
      <w:lvlJc w:val="left"/>
      <w:lvlText w:val="%1."/>
      <w:numFmt w:val="lowerLetter"/>
      <w:start w:val="3"/>
    </w:lvl>
  </w:abstractNum>
  <w:abstractNum w:abstractNumId="105">
    <w:nsid w:val="175DFCF0"/>
    <w:multiLevelType w:val="hybridMultilevel"/>
    <w:lvl w:ilvl="0">
      <w:lvlJc w:val="left"/>
      <w:lvlText w:val="*"/>
      <w:numFmt w:val="bullet"/>
      <w:start w:val="1"/>
    </w:lvl>
  </w:abstractNum>
  <w:abstractNum w:abstractNumId="106">
    <w:nsid w:val="4F97E3E4"/>
    <w:multiLevelType w:val="hybridMultilevel"/>
    <w:lvl w:ilvl="0">
      <w:lvlJc w:val="left"/>
      <w:lvlText w:val="%1."/>
      <w:numFmt w:val="lowerLetter"/>
      <w:start w:val="1"/>
    </w:lvl>
  </w:abstractNum>
  <w:abstractNum w:abstractNumId="107">
    <w:nsid w:val="53B0A9E"/>
    <w:multiLevelType w:val="hybridMultilevel"/>
    <w:lvl w:ilvl="0">
      <w:lvlJc w:val="left"/>
      <w:lvlText w:val="%1."/>
      <w:numFmt w:val="lowerLetter"/>
      <w:start w:val="2"/>
    </w:lvl>
  </w:abstractNum>
  <w:abstractNum w:abstractNumId="108">
    <w:nsid w:val="34FD6B4F"/>
    <w:multiLevelType w:val="hybridMultilevel"/>
    <w:lvl w:ilvl="0">
      <w:lvlJc w:val="left"/>
      <w:lvlText w:val="%1."/>
      <w:numFmt w:val="lowerLetter"/>
      <w:start w:val="3"/>
    </w:lvl>
  </w:abstractNum>
  <w:abstractNum w:abstractNumId="109">
    <w:nsid w:val="5915FF32"/>
    <w:multiLevelType w:val="hybridMultilevel"/>
    <w:lvl w:ilvl="0">
      <w:lvlJc w:val="left"/>
      <w:lvlText w:val="*"/>
      <w:numFmt w:val="bullet"/>
      <w:start w:val="1"/>
    </w:lvl>
  </w:abstractNum>
  <w:abstractNum w:abstractNumId="110">
    <w:nsid w:val="56438D15"/>
    <w:multiLevelType w:val="hybridMultilevel"/>
    <w:lvl w:ilvl="0">
      <w:lvlJc w:val="left"/>
      <w:lvlText w:val="●"/>
      <w:numFmt w:val="bullet"/>
      <w:start w:val="1"/>
    </w:lvl>
  </w:abstractNum>
  <w:abstractNum w:abstractNumId="111">
    <w:nsid w:val="519E3149"/>
    <w:multiLevelType w:val="hybridMultilevel"/>
    <w:lvl w:ilvl="0">
      <w:lvlJc w:val="left"/>
      <w:lvlText w:val="●"/>
      <w:numFmt w:val="bullet"/>
      <w:start w:val="1"/>
    </w:lvl>
  </w:abstractNum>
  <w:abstractNum w:abstractNumId="112">
    <w:nsid w:val="2C6E4AFD"/>
    <w:multiLevelType w:val="hybridMultilevel"/>
    <w:lvl w:ilvl="0">
      <w:lvlJc w:val="left"/>
      <w:lvlText w:val="1"/>
      <w:numFmt w:val="bullet"/>
      <w:start w:val="1"/>
    </w:lvl>
  </w:abstractNum>
  <w:abstractNum w:abstractNumId="113">
    <w:nsid w:val="17A1B582"/>
    <w:multiLevelType w:val="hybridMultilevel"/>
    <w:lvl w:ilvl="0">
      <w:lvlJc w:val="left"/>
      <w:lvlText w:val="2"/>
      <w:numFmt w:val="bullet"/>
      <w:start w:val="1"/>
    </w:lvl>
  </w:abstractNum>
  <w:abstractNum w:abstractNumId="114">
    <w:nsid w:val="4DF72E4E"/>
    <w:multiLevelType w:val="hybridMultilevel"/>
    <w:lvl w:ilvl="0">
      <w:lvlJc w:val="left"/>
      <w:lvlText w:val="1"/>
      <w:numFmt w:val="bullet"/>
      <w:start w:val="1"/>
    </w:lvl>
  </w:abstractNum>
  <w:abstractNum w:abstractNumId="115">
    <w:nsid w:val="5046B5A9"/>
    <w:multiLevelType w:val="hybridMultilevel"/>
    <w:lvl w:ilvl="0">
      <w:lvlJc w:val="left"/>
      <w:lvlText w:val="2"/>
      <w:numFmt w:val="bullet"/>
      <w:start w:val="1"/>
    </w:lvl>
  </w:abstractNum>
  <w:abstractNum w:abstractNumId="116">
    <w:nsid w:val="5D888A08"/>
    <w:multiLevelType w:val="hybridMultilevel"/>
    <w:lvl w:ilvl="0">
      <w:lvlJc w:val="left"/>
      <w:lvlText w:val="1"/>
      <w:numFmt w:val="bullet"/>
      <w:start w:val="1"/>
    </w:lvl>
  </w:abstractNum>
  <w:abstractNum w:abstractNumId="117">
    <w:nsid w:val="2A082C70"/>
    <w:multiLevelType w:val="hybridMultilevel"/>
    <w:lvl w:ilvl="0">
      <w:lvlJc w:val="left"/>
      <w:lvlText w:val="2"/>
      <w:numFmt w:val="bullet"/>
      <w:start w:val="1"/>
    </w:lvl>
  </w:abstractNum>
  <w:abstractNum w:abstractNumId="118">
    <w:nsid w:val="5EC6AFD4"/>
    <w:multiLevelType w:val="hybridMultilevel"/>
    <w:lvl w:ilvl="0">
      <w:lvlJc w:val="left"/>
      <w:lvlText w:val="3"/>
      <w:numFmt w:val="bullet"/>
      <w:start w:val="1"/>
    </w:lvl>
  </w:abstractNum>
  <w:abstractNum w:abstractNumId="119">
    <w:nsid w:val="19E21BB2"/>
    <w:multiLevelType w:val="hybridMultilevel"/>
    <w:lvl w:ilvl="0">
      <w:lvlJc w:val="left"/>
      <w:lvlText w:val="*"/>
      <w:numFmt w:val="bullet"/>
      <w:start w:val="1"/>
    </w:lvl>
  </w:abstractNum>
  <w:abstractNum w:abstractNumId="120">
    <w:nsid w:val="75E0858A"/>
    <w:multiLevelType w:val="hybridMultilevel"/>
    <w:lvl w:ilvl="0">
      <w:lvlJc w:val="left"/>
      <w:lvlText w:val="(%1)"/>
      <w:numFmt w:val="decimal"/>
      <w:start w:val="2"/>
    </w:lvl>
  </w:abstractNum>
  <w:abstractNum w:abstractNumId="121">
    <w:nsid w:val="57A61A29"/>
    <w:multiLevelType w:val="hybridMultilevel"/>
    <w:lvl w:ilvl="0">
      <w:lvlJc w:val="left"/>
      <w:lvlText w:val="●"/>
      <w:numFmt w:val="bullet"/>
      <w:start w:val="1"/>
    </w:lvl>
  </w:abstractNum>
  <w:abstractNum w:abstractNumId="122">
    <w:nsid w:val="5399C654"/>
    <w:multiLevelType w:val="hybridMultilevel"/>
    <w:lvl w:ilvl="0">
      <w:lvlJc w:val="left"/>
      <w:lvlText w:val="•"/>
      <w:numFmt w:val="bullet"/>
      <w:start w:val="1"/>
    </w:lvl>
  </w:abstractNum>
  <w:abstractNum w:abstractNumId="123">
    <w:nsid w:val="20EE1348"/>
    <w:multiLevelType w:val="hybridMultilevel"/>
    <w:lvl w:ilvl="0">
      <w:lvlJc w:val="left"/>
      <w:lvlText w:val="$"/>
      <w:numFmt w:val="bullet"/>
      <w:start w:val="1"/>
    </w:lvl>
  </w:abstractNum>
  <w:abstractNum w:abstractNumId="124">
    <w:nsid w:val="4427069A"/>
    <w:multiLevelType w:val="hybridMultilevel"/>
    <w:lvl w:ilvl="0">
      <w:lvlJc w:val="left"/>
      <w:lvlText w:val="$"/>
      <w:numFmt w:val="bullet"/>
      <w:start w:val="1"/>
    </w:lvl>
  </w:abstractNum>
  <w:abstractNum w:abstractNumId="125">
    <w:nsid w:val="B37E80A"/>
    <w:multiLevelType w:val="hybridMultilevel"/>
    <w:lvl w:ilvl="0">
      <w:lvlJc w:val="left"/>
      <w:lvlText w:val="●"/>
      <w:numFmt w:val="bullet"/>
      <w:start w:val="1"/>
    </w:lvl>
  </w:abstractNum>
  <w:abstractNum w:abstractNumId="126">
    <w:nsid w:val="2157F6BC"/>
    <w:multiLevelType w:val="hybridMultilevel"/>
    <w:lvl w:ilvl="0">
      <w:lvlJc w:val="left"/>
      <w:lvlText w:val="●"/>
      <w:numFmt w:val="bullet"/>
      <w:start w:val="1"/>
    </w:lvl>
    <w:lvl w:ilvl="1">
      <w:lvlJc w:val="left"/>
      <w:lvlText w:val="(%2)"/>
      <w:numFmt w:val="lowerLetter"/>
      <w:start w:val="1"/>
    </w:lvl>
  </w:abstractNum>
  <w:abstractNum w:abstractNumId="127">
    <w:nsid w:val="704E1DD5"/>
    <w:multiLevelType w:val="hybridMultilevel"/>
    <w:lvl w:ilvl="0">
      <w:lvlJc w:val="left"/>
      <w:lvlText w:val="●"/>
      <w:numFmt w:val="bullet"/>
      <w:start w:val="1"/>
    </w:lvl>
  </w:abstractNum>
  <w:abstractNum w:abstractNumId="128">
    <w:nsid w:val="57D2F10E"/>
    <w:multiLevelType w:val="hybridMultilevel"/>
    <w:lvl w:ilvl="0">
      <w:lvlJc w:val="left"/>
      <w:lvlText w:val="●"/>
      <w:numFmt w:val="bullet"/>
      <w:start w:val="1"/>
    </w:lvl>
  </w:abstractNum>
  <w:abstractNum w:abstractNumId="129">
    <w:nsid w:val="BFFAE18"/>
    <w:multiLevelType w:val="hybridMultilevel"/>
    <w:lvl w:ilvl="0">
      <w:lvlJc w:val="left"/>
      <w:lvlText w:val="●"/>
      <w:numFmt w:val="bullet"/>
      <w:start w:val="1"/>
    </w:lvl>
  </w:abstractNum>
  <w:abstractNum w:abstractNumId="130">
    <w:nsid w:val="E3E47A8"/>
    <w:multiLevelType w:val="hybridMultilevel"/>
    <w:lvl w:ilvl="0">
      <w:lvlJc w:val="left"/>
      <w:lvlText w:val="●"/>
      <w:numFmt w:val="bullet"/>
      <w:start w:val="1"/>
    </w:lvl>
  </w:abstractNum>
  <w:abstractNum w:abstractNumId="131">
    <w:nsid w:val="2E48F044"/>
    <w:multiLevelType w:val="hybridMultilevel"/>
    <w:lvl w:ilvl="0">
      <w:lvlJc w:val="left"/>
      <w:lvlText w:val="●"/>
      <w:numFmt w:val="bullet"/>
      <w:start w:val="1"/>
    </w:lvl>
  </w:abstractNum>
  <w:abstractNum w:abstractNumId="132">
    <w:nsid w:val="49D0FEAC"/>
    <w:multiLevelType w:val="hybridMultilevel"/>
    <w:lvl w:ilvl="0">
      <w:lvlJc w:val="left"/>
      <w:lvlText w:val="%1."/>
      <w:numFmt w:val="decimal"/>
      <w:start w:val="1"/>
    </w:lvl>
  </w:abstractNum>
  <w:abstractNum w:abstractNumId="133">
    <w:nsid w:val="4BEE5A5B"/>
    <w:multiLevelType w:val="hybridMultilevel"/>
    <w:lvl w:ilvl="0">
      <w:lvlJc w:val="left"/>
      <w:lvlText w:val="●"/>
      <w:numFmt w:val="bullet"/>
      <w:start w:val="1"/>
    </w:lvl>
  </w:abstractNum>
  <w:abstractNum w:abstractNumId="134">
    <w:nsid w:val="5551B9F3"/>
    <w:multiLevelType w:val="hybridMultilevel"/>
    <w:lvl w:ilvl="0">
      <w:lvlJc w:val="left"/>
      <w:lvlText w:val="●"/>
      <w:numFmt w:val="bullet"/>
      <w:start w:val="1"/>
    </w:lvl>
  </w:abstractNum>
  <w:abstractNum w:abstractNumId="135">
    <w:nsid w:val="24F6AB8E"/>
    <w:multiLevelType w:val="hybridMultilevel"/>
    <w:lvl w:ilvl="0">
      <w:lvlJc w:val="left"/>
      <w:lvlText w:val="●"/>
      <w:numFmt w:val="bullet"/>
      <w:start w:val="1"/>
    </w:lvl>
  </w:abstractNum>
  <w:abstractNum w:abstractNumId="136">
    <w:nsid w:val="634C574C"/>
    <w:multiLevelType w:val="hybridMultilevel"/>
    <w:lvl w:ilvl="0">
      <w:lvlJc w:val="left"/>
      <w:lvlText w:val="%1."/>
      <w:numFmt w:val="decimal"/>
      <w:start w:val="1"/>
    </w:lvl>
    <w:lvl w:ilvl="1">
      <w:lvlJc w:val="left"/>
      <w:lvlText w:val="(%2)"/>
      <w:numFmt w:val="lowerLetter"/>
      <w:start w:val="1"/>
    </w:lvl>
  </w:abstractNum>
  <w:abstractNum w:abstractNumId="137">
    <w:nsid w:val="24E99DD7"/>
    <w:multiLevelType w:val="hybridMultilevel"/>
    <w:lvl w:ilvl="0">
      <w:lvlJc w:val="left"/>
      <w:lvlText w:val="%1."/>
      <w:numFmt w:val="decimal"/>
      <w:start w:val="1"/>
    </w:lvl>
    <w:lvl w:ilvl="1">
      <w:lvlJc w:val="left"/>
      <w:lvlText w:val="(%2)"/>
      <w:numFmt w:val="lowerLetter"/>
      <w:start w:val="1"/>
    </w:lvl>
  </w:abstractNum>
  <w:abstractNum w:abstractNumId="138">
    <w:nsid w:val="2A31B62D"/>
    <w:multiLevelType w:val="hybridMultilevel"/>
    <w:lvl w:ilvl="0">
      <w:lvlJc w:val="left"/>
      <w:lvlText w:val="(%1)"/>
      <w:numFmt w:val="decimal"/>
      <w:start w:val="1"/>
    </w:lvl>
  </w:abstractNum>
  <w:abstractNum w:abstractNumId="139">
    <w:nsid w:val="1849C2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2022-03-28T06:15:05Z</dcterms:created>
  <dcterms:modified xsi:type="dcterms:W3CDTF">2022-03-28T06:15:05Z</dcterms:modified>
</cp:coreProperties>
</file>