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 2024,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January 2, 2024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2,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Earns 446 BTC in December 2023 and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4,928 BTC for the Full Year 2023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Increases hashrate 44% YOY to 6.5 EH/s at Dec. 31, 2023, exceeding guidance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Expands total contracted capacity to 593 MW at Dec. 31, 2023 -</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 On track to achieve 12 EH/s and 25 w/TH fleet efficiency in Q2 2024 -</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 Optionality to achieve 17 EH/s and 23 w/TH fleet efficiency in 2024 -</w:t>
      </w:r>
    </w:p>
    <w:p>
      <w:pPr>
        <w:spacing w:after="0" w:line="203" w:lineRule="exact"/>
        <w:rPr>
          <w:sz w:val="20"/>
          <w:szCs w:val="20"/>
          <w:color w:val="auto"/>
        </w:rPr>
      </w:pPr>
    </w:p>
    <w:p>
      <w:pPr>
        <w:jc w:val="both"/>
        <w:ind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2, 2024)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BITF//TSX: BITF</w:t>
      </w:r>
      <w:r>
        <w:rPr>
          <w:rFonts w:ascii="Times New Roman" w:cs="Times New Roman" w:eastAsia="Times New Roman" w:hAnsi="Times New Roman"/>
          <w:sz w:val="18"/>
          <w:szCs w:val="18"/>
          <w:color w:val="auto"/>
        </w:rPr>
        <w:t>), a global vertically integrated Bitcoin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provides an update for the month and year ended December 31, 2023.</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we executed our growth plan and laid the groundwork for aggressive growth in 2024. We finished the year with $118 million in liquidity, low-cost power contracts for up to 593 MW and a miner purchase agreement for up to 63,888 new Bitmain miners in 2024,” said Geoff Morphy, CEO of Bitfarms. “Nearly 70% of new miners will be deployed in our existing US and Canadian farms with the remaining miners earmarked for the Paso Pe, Paraguay expansion, which is currently running ahead of schedule. We are well underway to achieve our Q2 2024 goals of 12 EH/s and 310 MW operating capacity, which would represent increases of 85% and 29%, respectively, compared to year-end 2023. Additionally, we maintain optionality under the contract with the potential to achieve 17 EH/s and 23 w/TH fleet efficiency before the end of 2024.”</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 Gagnon, Chief Mining Officer of Bitfarms, said, “Strong operations and uptime in December drove our average EH/s online up 5% to 6.2 EH/s, crystalizing another solid year of performance for Bitfarms. Our mining operations largely kept pace with network hashrate growth in 2023 generating a similar number of Bitcoins YOY, while successfully executing on our core focus and strategy to improve balance sheet strength and prepare for the 2024 halving. In 2024, we expect our core focus to be on executing our Bitmain T21 miner fleet upgrade plan and driving rapid improvements in hashrate and energy efficiency in H1 2024. Our proven capabilities in building and operating facilities will be fully utilized next year as we deploy our largest order of miners to date, driving energy efficiency to 25 w/TH and seeking a larger share of the Bitcoin mining network.”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Jeff Lucas, CFO of Bitfarms, said, “In 2024, we are building on our financial foundation with a continued focus on effectively utilizing cash flow from operations in our capital efficient growth plan for farm expansion and fleet-wide upgrades. Throughout 2023, we maintained a strong balance sheet during the fourth quarter, and we increased total liquidity by $52 million to $118 million, ending the year with $84 million in cash, $34 million in BTC in treasury, and only $4 million in debt. Furthermore, in December, we increased our overall BTC exposure by expanding our Synthetic HODL™ portfolio by a total of 100 long-dated calls while maintaining BTC held in treasury relatively constant at 804.”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December production of 446 BTC represented an increase of 13.8% from November as high uptime and a surge in transaction fees of 465% offset a network difficulty increase of 6.0% during the month. For the year ended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network difficulty increased 103.6% while the BTC price was up approximately 156.8%, resulting in a 61.4% improvement in YOY production economics as measured by USD/TH/day.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2023 Select Operating Highlights</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EH/s online as of December 31, 2023, up 44% from December 31, 2022, and up 2% from November 30, 2023.</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EH/s average online, up 5.1% from November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 BTC/average EH/s, up 8.0% from 66.4 in November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 BTC earned, 13.8% higher than November 2023 and 10.1% lower than December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BTC earned daily on average, equal to approximately $612,000 per day based on a BTC price of $42,500 on December 31,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Paso Pe, Paraguay:</w:t>
      </w:r>
    </w:p>
    <w:p>
      <w:pPr>
        <w:spacing w:after="0" w:line="9" w:lineRule="exact"/>
        <w:rPr>
          <w:rFonts w:ascii="Times New Roman" w:cs="Times New Roman" w:eastAsia="Times New Roman" w:hAnsi="Times New Roman"/>
          <w:sz w:val="18"/>
          <w:szCs w:val="18"/>
          <w:color w:val="auto"/>
        </w:rPr>
      </w:pPr>
    </w:p>
    <w:p>
      <w:pPr>
        <w:ind w:left="6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Finalized the amended contract for an additional 20 MW of energy to support expansion of air-cooled warehouse operating capacity from 30 MW to 50 MW for total capacity of 70 MW.</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Completed the manufacture of the 80 MW transformer, which is now in transit.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Nearing completion of the underground cable connections to the ANDE sub-station.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Baie-Comeau, Quebec:</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Cleared the site to house the planned 11 MW H2 2024 expansion and poured the building’s concrete footings ahead of schedule.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4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86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3"/>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5,167</w:t>
            </w:r>
          </w:p>
        </w:tc>
        <w:tc>
          <w:tcPr>
            <w:tcW w:w="0" w:type="dxa"/>
            <w:vAlign w:val="bottom"/>
          </w:tcPr>
          <w:p>
            <w:pPr>
              <w:spacing w:after="0"/>
              <w:rPr>
                <w:sz w:val="1"/>
                <w:szCs w:val="1"/>
                <w:color w:val="auto"/>
              </w:rPr>
            </w:pPr>
          </w:p>
        </w:tc>
      </w:tr>
      <w:tr>
        <w:trPr>
          <w:trHeight w:val="27"/>
        </w:trPr>
        <w:tc>
          <w:tcPr>
            <w:tcW w:w="276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2023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444 BTC of the 446 BTC earned, generating total proceeds of $18.9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held in treasury increased to 804, representing approximately $34.2 million based on a BTC price of $42,500 at December 31,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Synthetic HODL™ by 100 long-dated BTC call options to 135 long-dated BTC call options at December 31, 2023.</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outstanding indebtedness during the month by $2.0 million, resulting in a remaining balance of $4.0 million at December 31, 2023, all of which is scheduled to be paid by February 2024.</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approximately $84 million in cash and cash equivalents at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Conferences and Events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plans to attend the following upcoming events:</w:t>
      </w:r>
    </w:p>
    <w:p>
      <w:pPr>
        <w:spacing w:after="0" w:line="8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January 16-17: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 New York City - management is scheduled to present at 4:30 ET on January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22-24: Series of meetings in Florida hosted by Bear Creek Capital</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30: Nasdaq Bell Ringing, New York City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3154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3154680"/>
                    </a:xfrm>
                    <a:prstGeom prst="rect">
                      <a:avLst/>
                    </a:prstGeom>
                    <a:noFill/>
                  </pic:spPr>
                </pic:pic>
              </a:graphicData>
            </a:graphic>
          </wp:anchor>
        </w:drawing>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2331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2331720"/>
                    </a:xfrm>
                    <a:prstGeom prst="rect">
                      <a:avLst/>
                    </a:prstGeom>
                    <a:noFill/>
                  </pic:spPr>
                </pic:pic>
              </a:graphicData>
            </a:graphic>
          </wp:anchor>
        </w:drawing>
        <w:t>Forward-Looking Statements</w:t>
      </w:r>
    </w:p>
    <w:p>
      <w:pPr>
        <w:spacing w:after="0" w:line="227" w:lineRule="exact"/>
        <w:rPr>
          <w:sz w:val="20"/>
          <w:szCs w:val="20"/>
          <w:color w:val="auto"/>
        </w:rPr>
      </w:pPr>
    </w:p>
    <w:p>
      <w:pPr>
        <w:jc w:val="both"/>
        <w:ind w:left="20" w:hanging="8"/>
        <w:spacing w:after="0" w:line="253"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w:t>
      </w:r>
      <w:r>
        <w:rPr>
          <w:rFonts w:ascii="Times New Roman" w:cs="Times New Roman" w:eastAsia="Times New Roman" w:hAnsi="Times New Roman"/>
          <w:sz w:val="18"/>
          <w:szCs w:val="18"/>
          <w:i w:val="1"/>
          <w:iCs w:val="1"/>
          <w:color w:val="auto"/>
        </w:rPr>
        <w:t>The statements and information in this release regarding projected growth, target hashrate, opportunities relating to the Company’s</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 xml:space="preserve">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w:t>
      </w:r>
      <w:r>
        <w:rPr>
          <w:rFonts w:ascii="Times New Roman" w:cs="Times New Roman" w:eastAsia="Times New Roman" w:hAnsi="Times New Roman"/>
          <w:sz w:val="18"/>
          <w:szCs w:val="18"/>
          <w:i w:val="1"/>
          <w:iCs w:val="1"/>
          <w:color w:val="auto"/>
          <w:highlight w:val="white"/>
        </w:rPr>
        <w:t>The statements and information in this release regarding the miner equipment purchases, contracted delivery and proposed</w:t>
      </w:r>
      <w:r>
        <w:rPr>
          <w:rFonts w:ascii="Times New Roman" w:cs="Times New Roman" w:eastAsia="Times New Roman" w:hAnsi="Times New Roman"/>
          <w:sz w:val="18"/>
          <w:szCs w:val="18"/>
          <w:i w:val="1"/>
          <w:iCs w:val="1"/>
          <w:color w:val="auto"/>
        </w:rPr>
        <w:t xml:space="preserve"> deployment plans, performance of the equipment and the impact on operating capacity including target hashrates and hashrate growth in general, energy </w:t>
      </w:r>
      <w:r>
        <w:rPr>
          <w:rFonts w:ascii="Times New Roman" w:cs="Times New Roman" w:eastAsia="Times New Roman" w:hAnsi="Times New Roman"/>
          <w:sz w:val="18"/>
          <w:szCs w:val="18"/>
          <w:i w:val="1"/>
          <w:iCs w:val="1"/>
          <w:color w:val="auto"/>
          <w:highlight w:val="white"/>
        </w:rPr>
        <w:t xml:space="preserve">efficiency and cost savings,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w:t>
      </w:r>
      <w:r>
        <w:rPr>
          <w:rFonts w:ascii="Times New Roman" w:cs="Times New Roman" w:eastAsia="Times New Roman" w:hAnsi="Times New Roman"/>
          <w:sz w:val="18"/>
          <w:szCs w:val="18"/>
          <w:i w:val="1"/>
          <w:iCs w:val="1"/>
          <w:color w:val="auto"/>
        </w:rPr>
        <w:t xml:space="preserve">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w:t>
      </w:r>
      <w:r>
        <w:rPr>
          <w:rFonts w:ascii="Times New Roman" w:cs="Times New Roman" w:eastAsia="Times New Roman" w:hAnsi="Times New Roman"/>
          <w:sz w:val="18"/>
          <w:szCs w:val="18"/>
          <w:i w:val="1"/>
          <w:iCs w:val="1"/>
          <w:color w:val="auto"/>
          <w:highlight w:val="white"/>
        </w:rPr>
        <w:t>in the applicable jurisdictions.</w:t>
      </w:r>
    </w:p>
    <w:p>
      <w:pPr>
        <w:spacing w:after="0" w:line="187"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20" w:hanging="8"/>
        <w:spacing w:after="0" w:line="266" w:lineRule="auto"/>
        <w:rPr>
          <w:sz w:val="20"/>
          <w:szCs w:val="20"/>
          <w:color w:val="auto"/>
        </w:rPr>
      </w:pPr>
      <w:r>
        <w:rPr>
          <w:rFonts w:ascii="Times New Roman" w:cs="Times New Roman" w:eastAsia="Times New Roman" w:hAnsi="Times New Roman"/>
          <w:sz w:val="17"/>
          <w:szCs w:val="17"/>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2024-01-02T15:04:43Z</dcterms:created>
  <dcterms:modified xsi:type="dcterms:W3CDTF">2024-01-02T15:04:43Z</dcterms:modified>
</cp:coreProperties>
</file>