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7)*</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Bitfarms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09173B107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Riot Platforms,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3855 Ambrosia Street, Suite 301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Castle Rock, CO 80109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Telephone: (303) 794-2000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Attention to:</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William Jackman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780"/>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July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ind w:right="38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79"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CUSIP No. 09173B107</w:t>
            </w:r>
          </w:p>
        </w:tc>
        <w:tc>
          <w:tcPr>
            <w:tcW w:w="7340" w:type="dxa"/>
            <w:vAlign w:val="bottom"/>
          </w:tcPr>
          <w:p>
            <w:pPr>
              <w:spacing w:after="0"/>
              <w:rPr>
                <w:sz w:val="20"/>
                <w:szCs w:val="20"/>
                <w:color w:val="auto"/>
              </w:rPr>
            </w:pPr>
          </w:p>
        </w:tc>
        <w:tc>
          <w:tcPr>
            <w:tcW w:w="15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Page 2 of 5</w:t>
            </w: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SCHEDULE 13D</w:t>
            </w: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400" w:type="dxa"/>
            <w:vAlign w:val="bottom"/>
            <w:tcBorders>
              <w:bottom w:val="single" w:sz="8" w:color="auto"/>
            </w:tcBorders>
            <w:gridSpan w:val="2"/>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right w:val="single" w:sz="8" w:color="auto"/>
            </w:tcBorders>
          </w:tcPr>
          <w:p>
            <w:pPr>
              <w:spacing w:after="0"/>
              <w:rPr>
                <w:sz w:val="20"/>
                <w:szCs w:val="20"/>
                <w:color w:val="auto"/>
              </w:rPr>
            </w:pPr>
          </w:p>
        </w:tc>
        <w:tc>
          <w:tcPr>
            <w:tcW w:w="90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8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7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Riot Platforms, Inc.</w:t>
            </w:r>
          </w:p>
        </w:tc>
        <w:tc>
          <w:tcPr>
            <w:tcW w:w="7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00" w:type="dxa"/>
            <w:vAlign w:val="bottom"/>
            <w:tcBorders>
              <w:left w:val="single" w:sz="8" w:color="auto"/>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00" w:type="dxa"/>
            <w:vAlign w:val="bottom"/>
            <w:tcBorders>
              <w:lef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right w:val="single" w:sz="8" w:color="auto"/>
            </w:tcBorders>
          </w:tcPr>
          <w:p>
            <w:pPr>
              <w:spacing w:after="0"/>
              <w:rPr>
                <w:sz w:val="15"/>
                <w:szCs w:val="15"/>
                <w:color w:val="auto"/>
              </w:rPr>
            </w:pPr>
          </w:p>
        </w:tc>
        <w:tc>
          <w:tcPr>
            <w:tcW w:w="9080" w:type="dxa"/>
            <w:vAlign w:val="bottom"/>
            <w:gridSpan w:val="4"/>
          </w:tcPr>
          <w:p>
            <w:pPr>
              <w:ind w:left="80"/>
              <w:spacing w:after="0" w:line="18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820" w:type="dxa"/>
            <w:vAlign w:val="bottom"/>
          </w:tcPr>
          <w:p>
            <w:pPr>
              <w:ind w:left="520"/>
              <w:spacing w:after="0" w:line="182" w:lineRule="exact"/>
              <w:rPr>
                <w:sz w:val="20"/>
                <w:szCs w:val="20"/>
                <w:color w:val="auto"/>
              </w:rPr>
            </w:pPr>
            <w:r>
              <w:rPr>
                <w:rFonts w:ascii="Times New Roman" w:cs="Times New Roman" w:eastAsia="Times New Roman" w:hAnsi="Times New Roman"/>
                <w:sz w:val="18"/>
                <w:szCs w:val="18"/>
                <w:color w:val="auto"/>
              </w:rPr>
              <w:t>(a)</w:t>
            </w:r>
          </w:p>
        </w:tc>
        <w:tc>
          <w:tcPr>
            <w:tcW w:w="74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3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(b)</w:t>
            </w:r>
          </w:p>
        </w:tc>
        <w:tc>
          <w:tcPr>
            <w:tcW w:w="740" w:type="dxa"/>
            <w:vAlign w:val="bottom"/>
            <w:tcBorders>
              <w:bottom w:val="single" w:sz="8" w:color="auto"/>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right w:val="single" w:sz="8" w:color="auto"/>
            </w:tcBorders>
          </w:tcPr>
          <w:p>
            <w:pPr>
              <w:spacing w:after="0"/>
              <w:rPr>
                <w:sz w:val="20"/>
                <w:szCs w:val="20"/>
                <w:color w:val="auto"/>
              </w:rPr>
            </w:pPr>
          </w:p>
        </w:tc>
        <w:tc>
          <w:tcPr>
            <w:tcW w:w="17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7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right w:val="single" w:sz="8" w:color="auto"/>
            </w:tcBorders>
          </w:tcPr>
          <w:p>
            <w:pPr>
              <w:spacing w:after="0"/>
              <w:rPr>
                <w:sz w:val="20"/>
                <w:szCs w:val="20"/>
                <w:color w:val="auto"/>
              </w:rPr>
            </w:pPr>
          </w:p>
        </w:tc>
        <w:tc>
          <w:tcPr>
            <w:tcW w:w="17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SOURCE OF FUNDS</w:t>
            </w:r>
          </w:p>
        </w:tc>
        <w:tc>
          <w:tcPr>
            <w:tcW w:w="7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242424"/>
              </w:rPr>
              <w:t>WC</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00" w:type="dxa"/>
            <w:vAlign w:val="bottom"/>
            <w:tcBorders>
              <w:left w:val="single" w:sz="8" w:color="auto"/>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right w:val="single" w:sz="8" w:color="auto"/>
            </w:tcBorders>
          </w:tcPr>
          <w:p>
            <w:pPr>
              <w:spacing w:after="0"/>
              <w:rPr>
                <w:sz w:val="24"/>
                <w:szCs w:val="24"/>
                <w:color w:val="auto"/>
              </w:rPr>
            </w:pPr>
          </w:p>
        </w:tc>
        <w:tc>
          <w:tcPr>
            <w:tcW w:w="90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8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gridSpan w:val="2"/>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Borders>
              <w:right w:val="single" w:sz="8" w:color="auto"/>
            </w:tcBorders>
          </w:tcPr>
          <w:p>
            <w:pPr>
              <w:spacing w:after="0"/>
              <w:rPr>
                <w:sz w:val="20"/>
                <w:szCs w:val="20"/>
                <w:color w:val="auto"/>
              </w:rPr>
            </w:pPr>
          </w:p>
        </w:tc>
        <w:tc>
          <w:tcPr>
            <w:tcW w:w="90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8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Nevada</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00" w:type="dxa"/>
            <w:vAlign w:val="bottom"/>
            <w:tcBorders>
              <w:left w:val="single" w:sz="8" w:color="auto"/>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0"/>
                <w:szCs w:val="20"/>
                <w:color w:val="auto"/>
              </w:rPr>
            </w:pP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8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1420" w:type="dxa"/>
            <w:vAlign w:val="bottom"/>
            <w:tcBorders>
              <w:right w:val="single" w:sz="8" w:color="auto"/>
            </w:tcBorders>
            <w:gridSpan w:val="2"/>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71,557,855</w:t>
            </w:r>
          </w:p>
        </w:tc>
        <w:tc>
          <w:tcPr>
            <w:tcW w:w="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00" w:type="dxa"/>
            <w:vAlign w:val="bottom"/>
            <w:tcBorders>
              <w:left w:val="single" w:sz="8" w:color="auto"/>
            </w:tcBorders>
          </w:tcPr>
          <w:p>
            <w:pPr>
              <w:spacing w:after="0"/>
              <w:rPr>
                <w:sz w:val="2"/>
                <w:szCs w:val="2"/>
                <w:color w:val="auto"/>
              </w:rPr>
            </w:pPr>
          </w:p>
        </w:tc>
        <w:tc>
          <w:tcPr>
            <w:tcW w:w="1420" w:type="dxa"/>
            <w:vAlign w:val="bottom"/>
            <w:tcBorders>
              <w:right w:val="single" w:sz="8" w:color="auto"/>
            </w:tcBorders>
            <w:gridSpan w:val="2"/>
            <w:vMerge w:val="continue"/>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00" w:type="dxa"/>
            <w:vAlign w:val="bottom"/>
            <w:tcBorders>
              <w:left w:val="single" w:sz="8" w:color="auto"/>
            </w:tcBorders>
          </w:tcPr>
          <w:p>
            <w:pPr>
              <w:spacing w:after="0"/>
              <w:rPr>
                <w:sz w:val="21"/>
                <w:szCs w:val="21"/>
                <w:color w:val="auto"/>
              </w:rPr>
            </w:pPr>
          </w:p>
        </w:tc>
        <w:tc>
          <w:tcPr>
            <w:tcW w:w="142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1"/>
                <w:szCs w:val="21"/>
                <w:color w:val="auto"/>
              </w:rPr>
            </w:pP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82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Borders>
              <w:left w:val="single" w:sz="8" w:color="auto"/>
            </w:tcBorders>
          </w:tcPr>
          <w:p>
            <w:pPr>
              <w:spacing w:after="0"/>
              <w:rPr>
                <w:sz w:val="20"/>
                <w:szCs w:val="20"/>
                <w:color w:val="auto"/>
              </w:rPr>
            </w:pPr>
          </w:p>
        </w:tc>
        <w:tc>
          <w:tcPr>
            <w:tcW w:w="142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34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0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Borders>
              <w:right w:val="single" w:sz="8" w:color="auto"/>
            </w:tcBorders>
          </w:tcPr>
          <w:p>
            <w:pPr>
              <w:jc w:val="center"/>
              <w:ind w:right="550"/>
              <w:spacing w:after="0" w:line="182" w:lineRule="exact"/>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5"/>
                <w:szCs w:val="15"/>
                <w:color w:val="auto"/>
              </w:rPr>
            </w:pPr>
          </w:p>
        </w:tc>
        <w:tc>
          <w:tcPr>
            <w:tcW w:w="734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color w:val="auto"/>
              </w:rPr>
              <w:t>SOLE DISPOSITIVE POWER</w:t>
            </w:r>
          </w:p>
        </w:tc>
        <w:tc>
          <w:tcPr>
            <w:tcW w:w="82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0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0" w:type="dxa"/>
            <w:vAlign w:val="bottom"/>
            <w:tcBorders>
              <w:left w:val="single" w:sz="8" w:color="auto"/>
            </w:tcBorders>
          </w:tcPr>
          <w:p>
            <w:pPr>
              <w:spacing w:after="0"/>
              <w:rPr>
                <w:sz w:val="19"/>
                <w:szCs w:val="19"/>
                <w:color w:val="auto"/>
              </w:rPr>
            </w:pPr>
          </w:p>
        </w:tc>
        <w:tc>
          <w:tcPr>
            <w:tcW w:w="1420" w:type="dxa"/>
            <w:vAlign w:val="bottom"/>
            <w:tcBorders>
              <w:right w:val="single" w:sz="8" w:color="auto"/>
            </w:tcBorders>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8"/>
              </w:rPr>
              <w:t>PERSON</w:t>
            </w:r>
          </w:p>
        </w:tc>
        <w:tc>
          <w:tcPr>
            <w:tcW w:w="5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71,557,855</w:t>
            </w:r>
          </w:p>
        </w:tc>
        <w:tc>
          <w:tcPr>
            <w:tcW w:w="82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300" w:type="dxa"/>
            <w:vAlign w:val="bottom"/>
            <w:tcBorders>
              <w:lef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Borders>
              <w:right w:val="single" w:sz="8" w:color="auto"/>
            </w:tcBorders>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rPr>
              <w:t>WITH</w:t>
            </w:r>
          </w:p>
        </w:tc>
        <w:tc>
          <w:tcPr>
            <w:tcW w:w="56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3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00" w:type="dxa"/>
            <w:vAlign w:val="bottom"/>
            <w:tcBorders>
              <w:lef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Borders>
              <w:right w:val="single" w:sz="8" w:color="auto"/>
            </w:tcBorders>
            <w:vMerge w:val="continue"/>
          </w:tcPr>
          <w:p>
            <w:pPr>
              <w:spacing w:after="0"/>
              <w:rPr>
                <w:sz w:val="11"/>
                <w:szCs w:val="11"/>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1"/>
                <w:szCs w:val="11"/>
                <w:color w:val="auto"/>
              </w:rPr>
            </w:pPr>
          </w:p>
        </w:tc>
        <w:tc>
          <w:tcPr>
            <w:tcW w:w="7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8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00" w:type="dxa"/>
            <w:vAlign w:val="bottom"/>
            <w:tcBorders>
              <w:lef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734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00" w:type="dxa"/>
            <w:vAlign w:val="bottom"/>
            <w:tcBorders>
              <w:left w:val="single" w:sz="8" w:color="auto"/>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74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11</w:t>
            </w:r>
          </w:p>
        </w:tc>
        <w:tc>
          <w:tcPr>
            <w:tcW w:w="300" w:type="dxa"/>
            <w:vAlign w:val="bottom"/>
            <w:tcBorders>
              <w:right w:val="single" w:sz="8" w:color="auto"/>
            </w:tcBorders>
          </w:tcPr>
          <w:p>
            <w:pPr>
              <w:spacing w:after="0"/>
              <w:rPr>
                <w:sz w:val="20"/>
                <w:szCs w:val="20"/>
                <w:color w:val="auto"/>
              </w:rPr>
            </w:pPr>
          </w:p>
        </w:tc>
        <w:tc>
          <w:tcPr>
            <w:tcW w:w="90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8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71,557,855</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00" w:type="dxa"/>
            <w:vAlign w:val="bottom"/>
            <w:tcBorders>
              <w:left w:val="single" w:sz="8" w:color="auto"/>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9080" w:type="dxa"/>
            <w:vAlign w:val="bottom"/>
            <w:tcBorders>
              <w:bottom w:val="single" w:sz="8" w:color="auto"/>
            </w:tcBorders>
            <w:gridSpan w:val="4"/>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12</w:t>
            </w:r>
          </w:p>
        </w:tc>
        <w:tc>
          <w:tcPr>
            <w:tcW w:w="300" w:type="dxa"/>
            <w:vAlign w:val="bottom"/>
            <w:tcBorders>
              <w:bottom w:val="single" w:sz="8" w:color="auto"/>
              <w:right w:val="single" w:sz="8" w:color="auto"/>
            </w:tcBorders>
          </w:tcPr>
          <w:p>
            <w:pPr>
              <w:spacing w:after="0"/>
              <w:rPr>
                <w:sz w:val="22"/>
                <w:szCs w:val="22"/>
                <w:color w:val="auto"/>
              </w:rPr>
            </w:pPr>
          </w:p>
        </w:tc>
        <w:tc>
          <w:tcPr>
            <w:tcW w:w="90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820" w:type="dxa"/>
            <w:vAlign w:val="bottom"/>
            <w:tcBorders>
              <w:bottom w:val="single" w:sz="8" w:color="auto"/>
            </w:tcBorders>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13</w:t>
            </w:r>
          </w:p>
        </w:tc>
        <w:tc>
          <w:tcPr>
            <w:tcW w:w="300" w:type="dxa"/>
            <w:vAlign w:val="bottom"/>
            <w:tcBorders>
              <w:right w:val="single" w:sz="8" w:color="auto"/>
            </w:tcBorders>
          </w:tcPr>
          <w:p>
            <w:pPr>
              <w:spacing w:after="0"/>
              <w:rPr>
                <w:sz w:val="20"/>
                <w:szCs w:val="20"/>
                <w:color w:val="auto"/>
              </w:rPr>
            </w:pPr>
          </w:p>
        </w:tc>
        <w:tc>
          <w:tcPr>
            <w:tcW w:w="90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8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242424"/>
              </w:rPr>
              <w:t>15.9%</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00" w:type="dxa"/>
            <w:vAlign w:val="bottom"/>
            <w:tcBorders>
              <w:left w:val="single" w:sz="8" w:color="auto"/>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9080" w:type="dxa"/>
            <w:vAlign w:val="bottom"/>
            <w:tcBorders>
              <w:bottom w:val="single" w:sz="8" w:color="auto"/>
            </w:tcBorders>
            <w:gridSpan w:val="4"/>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14</w:t>
            </w:r>
          </w:p>
        </w:tc>
        <w:tc>
          <w:tcPr>
            <w:tcW w:w="300" w:type="dxa"/>
            <w:vAlign w:val="bottom"/>
            <w:tcBorders>
              <w:right w:val="single" w:sz="8" w:color="auto"/>
            </w:tcBorders>
          </w:tcPr>
          <w:p>
            <w:pPr>
              <w:spacing w:after="0"/>
              <w:rPr>
                <w:sz w:val="20"/>
                <w:szCs w:val="20"/>
                <w:color w:val="auto"/>
              </w:rPr>
            </w:pPr>
          </w:p>
        </w:tc>
        <w:tc>
          <w:tcPr>
            <w:tcW w:w="90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8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00" w:type="dxa"/>
            <w:vAlign w:val="bottom"/>
            <w:tcBorders>
              <w:left w:val="single" w:sz="8" w:color="auto"/>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9"/>
        </w:trPr>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ind w:left="100"/>
        <w:spacing w:after="0"/>
        <w:tabs>
          <w:tab w:leader="none" w:pos="103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3 of 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13D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Amendment No. 7 to Schedule 13D (“</w:t>
      </w:r>
      <w:r>
        <w:rPr>
          <w:rFonts w:ascii="Times New Roman" w:cs="Times New Roman" w:eastAsia="Times New Roman" w:hAnsi="Times New Roman"/>
          <w:sz w:val="18"/>
          <w:szCs w:val="18"/>
          <w:u w:val="single" w:color="auto"/>
          <w:color w:val="auto"/>
        </w:rPr>
        <w:t>Amendment No. 7</w:t>
      </w:r>
      <w:r>
        <w:rPr>
          <w:rFonts w:ascii="Times New Roman" w:cs="Times New Roman" w:eastAsia="Times New Roman" w:hAnsi="Times New Roman"/>
          <w:sz w:val="18"/>
          <w:szCs w:val="18"/>
          <w:color w:val="auto"/>
        </w:rPr>
        <w:t>”) relates to the Schedule 13D filed on May 28, 2024 (as amended by Amendment No. 1, dated May 29, 2024, Amendment No. 2, dated June 4, 2024, Amendment No. 3 dated June 5, 2024, Amendment No. 4 dated June 12, 2024, Amendment No. 5 dated June 13, 2024 and Amendment No. 6 dated June 24, 2024,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by Riot Platforms, Inc., a Nevada corporation (the “</w:t>
      </w: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relating to the Common Shares, no par value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of Bitfarms Ltd., a corporation incorporated under the Canada Business Corporations Act and continued under the Business Corporations Act (Ontario)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whose principal executive offices are located at 110 Yonge Street, Suite 1601, Toronto, Ontario, M5C 1T4.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specifically amended by this Amendment No. 7, the Schedule 13D is unchanged.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Schedule 13D is hereby amended and restated to read in full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disclosed under Item 4 of the Schedule 13D is hereby incorporated by reference into this Item 3.</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purchase price of the Common Shares held by the Reporting Person reported herein was US$159,107,091. The Common Shares beneficially owned by the Reporting Person were purchased using funds out of its working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5(a) and (b) of the Schedule 13D is hereby amended and restated to read in full as follows:</w:t>
      </w:r>
    </w:p>
    <w:p>
      <w:pPr>
        <w:spacing w:after="0" w:line="225" w:lineRule="exact"/>
        <w:rPr>
          <w:sz w:val="20"/>
          <w:szCs w:val="20"/>
          <w:color w:val="auto"/>
        </w:rPr>
      </w:pPr>
    </w:p>
    <w:p>
      <w:pPr>
        <w:ind w:right="260" w:firstLine="8"/>
        <w:spacing w:after="0" w:line="261" w:lineRule="auto"/>
        <w:tabs>
          <w:tab w:leader="none" w:pos="2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(b) The aggregate number and percentage of the Common Shares that are beneficially owned by the Reporting Person and as to which the Reporting Person has sole voting power, shared voting power, sole dispositive power and shared dispositive power are set forth on the cover page of this Statement, and such information is incorporated herein by reference. The percentages used herein are calculated based on an aggregate of </w:t>
      </w:r>
      <w:r>
        <w:rPr>
          <w:rFonts w:ascii="Times New Roman" w:cs="Times New Roman" w:eastAsia="Times New Roman" w:hAnsi="Times New Roman"/>
          <w:sz w:val="18"/>
          <w:szCs w:val="18"/>
          <w:color w:val="242424"/>
        </w:rPr>
        <w:t>451,285,910</w:t>
      </w:r>
      <w:r>
        <w:rPr>
          <w:rFonts w:ascii="Times New Roman" w:cs="Times New Roman" w:eastAsia="Times New Roman" w:hAnsi="Times New Roman"/>
          <w:sz w:val="18"/>
          <w:szCs w:val="18"/>
          <w:color w:val="auto"/>
        </w:rPr>
        <w:t xml:space="preserve"> Common Shares outstanding, based on a report from the Company’s transfer agent dated July 29,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Schedule 13D is hereby amended and supplemented by adding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100"/>
        <w:spacing w:after="0"/>
        <w:tabs>
          <w:tab w:leader="none" w:pos="103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4 of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25" w:lineRule="exact"/>
        <w:rPr>
          <w:sz w:val="20"/>
          <w:szCs w:val="20"/>
          <w:color w:val="auto"/>
        </w:rPr>
      </w:pPr>
    </w:p>
    <w:p>
      <w:pPr>
        <w:ind w:right="220" w:firstLine="8"/>
        <w:spacing w:after="0" w:line="282" w:lineRule="auto"/>
        <w:tabs>
          <w:tab w:leader="none" w:pos="24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information concerning the Common Shares purchased by (or on behalf of) the Reporting Person during the 60-day period prior to this filing is added: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Price</w:t>
            </w:r>
          </w:p>
        </w:tc>
        <w:tc>
          <w:tcPr>
            <w:tcW w:w="1800" w:type="dxa"/>
            <w:vAlign w:val="bottom"/>
          </w:tcPr>
          <w:p>
            <w:pPr>
              <w:spacing w:after="0"/>
              <w:rPr>
                <w:sz w:val="18"/>
                <w:szCs w:val="18"/>
                <w:color w:val="auto"/>
              </w:rPr>
            </w:pPr>
          </w:p>
        </w:tc>
      </w:tr>
      <w:tr>
        <w:trPr>
          <w:trHeight w:val="238"/>
        </w:trPr>
        <w:tc>
          <w:tcPr>
            <w:tcW w:w="520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2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1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per Share (US$)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Range (US$)</w:t>
            </w:r>
          </w:p>
        </w:tc>
      </w:tr>
      <w:tr>
        <w:trPr>
          <w:trHeight w:val="209"/>
        </w:trPr>
        <w:tc>
          <w:tcPr>
            <w:tcW w:w="4960" w:type="dxa"/>
            <w:vAlign w:val="bottom"/>
            <w:tcBorders>
              <w:top w:val="single" w:sz="8" w:color="auto"/>
            </w:tcBorders>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07/08/2024</w:t>
            </w:r>
          </w:p>
        </w:tc>
        <w:tc>
          <w:tcPr>
            <w:tcW w:w="2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1,944,351</w:t>
            </w:r>
          </w:p>
        </w:tc>
        <w:tc>
          <w:tcPr>
            <w:tcW w:w="2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w w:val="88"/>
              </w:rPr>
              <w:t>2.69</w:t>
            </w: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2.62 – 2.81</w:t>
            </w:r>
          </w:p>
        </w:tc>
      </w:tr>
      <w:tr>
        <w:trPr>
          <w:trHeight w:val="216"/>
        </w:trPr>
        <w:tc>
          <w:tcPr>
            <w:tcW w:w="49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07/09/2024</w:t>
            </w:r>
          </w:p>
        </w:tc>
        <w:tc>
          <w:tcPr>
            <w:tcW w:w="240" w:type="dxa"/>
            <w:vAlign w:val="bottom"/>
          </w:tcPr>
          <w:p>
            <w:pPr>
              <w:spacing w:after="0"/>
              <w:rPr>
                <w:sz w:val="18"/>
                <w:szCs w:val="18"/>
                <w:color w:val="auto"/>
              </w:rPr>
            </w:pP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906,391</w:t>
            </w:r>
          </w:p>
        </w:tc>
        <w:tc>
          <w:tcPr>
            <w:tcW w:w="212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2.63</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 – 2.72</w:t>
            </w:r>
          </w:p>
        </w:tc>
      </w:tr>
      <w:tr>
        <w:trPr>
          <w:trHeight w:val="216"/>
        </w:trPr>
        <w:tc>
          <w:tcPr>
            <w:tcW w:w="496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07/25</w:t>
            </w:r>
            <w:r>
              <w:rPr>
                <w:rFonts w:ascii="Times New Roman" w:cs="Times New Roman" w:eastAsia="Times New Roman" w:hAnsi="Times New Roman"/>
                <w:sz w:val="18"/>
                <w:szCs w:val="18"/>
                <w:color w:val="242424"/>
              </w:rPr>
              <w:t>/2024</w:t>
            </w:r>
          </w:p>
        </w:tc>
        <w:tc>
          <w:tcPr>
            <w:tcW w:w="2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1,867,326</w:t>
            </w:r>
          </w:p>
        </w:tc>
        <w:tc>
          <w:tcPr>
            <w:tcW w:w="212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2.59</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42424"/>
                <w:w w:val="98"/>
              </w:rPr>
              <w:t>2.50 – 2.68</w:t>
            </w:r>
          </w:p>
        </w:tc>
      </w:tr>
      <w:tr>
        <w:trPr>
          <w:trHeight w:val="216"/>
        </w:trPr>
        <w:tc>
          <w:tcPr>
            <w:tcW w:w="49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07/26</w:t>
            </w:r>
            <w:r>
              <w:rPr>
                <w:rFonts w:ascii="Times New Roman" w:cs="Times New Roman" w:eastAsia="Times New Roman" w:hAnsi="Times New Roman"/>
                <w:sz w:val="18"/>
                <w:szCs w:val="18"/>
                <w:color w:val="242424"/>
              </w:rPr>
              <w:t>/2024</w:t>
            </w:r>
          </w:p>
        </w:tc>
        <w:tc>
          <w:tcPr>
            <w:tcW w:w="240" w:type="dxa"/>
            <w:vAlign w:val="bottom"/>
          </w:tcPr>
          <w:p>
            <w:pPr>
              <w:spacing w:after="0"/>
              <w:rPr>
                <w:sz w:val="18"/>
                <w:szCs w:val="18"/>
                <w:color w:val="auto"/>
              </w:rPr>
            </w:pP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42424"/>
              </w:rPr>
              <w:t>2,016,785</w:t>
            </w:r>
          </w:p>
        </w:tc>
        <w:tc>
          <w:tcPr>
            <w:tcW w:w="212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242424"/>
              </w:rPr>
              <w:t>2.70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242424"/>
                <w:w w:val="98"/>
              </w:rPr>
              <w:t>2.64 – 2.78</w:t>
            </w:r>
          </w:p>
        </w:tc>
      </w:tr>
      <w:tr>
        <w:trPr>
          <w:trHeight w:val="216"/>
        </w:trPr>
        <w:tc>
          <w:tcPr>
            <w:tcW w:w="496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07/29</w:t>
            </w:r>
            <w:r>
              <w:rPr>
                <w:rFonts w:ascii="Times New Roman" w:cs="Times New Roman" w:eastAsia="Times New Roman" w:hAnsi="Times New Roman"/>
                <w:sz w:val="18"/>
                <w:szCs w:val="18"/>
                <w:color w:val="242424"/>
              </w:rPr>
              <w:t>/2024</w:t>
            </w:r>
          </w:p>
        </w:tc>
        <w:tc>
          <w:tcPr>
            <w:tcW w:w="2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42424"/>
              </w:rPr>
              <w:t>1,892,615</w:t>
            </w:r>
          </w:p>
        </w:tc>
        <w:tc>
          <w:tcPr>
            <w:tcW w:w="212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242424"/>
              </w:rPr>
              <w:t>2.65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42424"/>
                <w:w w:val="98"/>
              </w:rPr>
              <w:t>2.55 – 2.84</w:t>
            </w:r>
          </w:p>
        </w:tc>
      </w:tr>
      <w:tr>
        <w:trPr>
          <w:trHeight w:val="234"/>
        </w:trPr>
        <w:tc>
          <w:tcPr>
            <w:tcW w:w="49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07/30</w:t>
            </w:r>
            <w:r>
              <w:rPr>
                <w:rFonts w:ascii="Times New Roman" w:cs="Times New Roman" w:eastAsia="Times New Roman" w:hAnsi="Times New Roman"/>
                <w:sz w:val="18"/>
                <w:szCs w:val="18"/>
                <w:color w:val="242424"/>
              </w:rPr>
              <w:t>/2024</w:t>
            </w:r>
          </w:p>
        </w:tc>
        <w:tc>
          <w:tcPr>
            <w:tcW w:w="240" w:type="dxa"/>
            <w:vAlign w:val="bottom"/>
          </w:tcPr>
          <w:p>
            <w:pPr>
              <w:spacing w:after="0"/>
              <w:rPr>
                <w:sz w:val="20"/>
                <w:szCs w:val="20"/>
                <w:color w:val="auto"/>
              </w:rPr>
            </w:pP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42424"/>
              </w:rPr>
              <w:t>1,598,756</w:t>
            </w:r>
          </w:p>
        </w:tc>
        <w:tc>
          <w:tcPr>
            <w:tcW w:w="212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242424"/>
              </w:rPr>
              <w:t>2.53</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242424"/>
                <w:w w:val="98"/>
              </w:rPr>
              <w:t>2.48 – 2.60</w:t>
            </w:r>
          </w:p>
        </w:tc>
      </w:tr>
      <w:tr>
        <w:trPr>
          <w:trHeight w:val="657"/>
        </w:trPr>
        <w:tc>
          <w:tcPr>
            <w:tcW w:w="4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ind w:left="100"/>
        <w:spacing w:after="0"/>
        <w:tabs>
          <w:tab w:leader="none" w:pos="103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5 of 5</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SCHEDULE 13D</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31,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Colin 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Colin Yee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90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2024-07-31T06:09:53Z</dcterms:created>
  <dcterms:modified xsi:type="dcterms:W3CDTF">2024-07-31T06:09:53Z</dcterms:modified>
</cp:coreProperties>
</file>