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6,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1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auto"/>
            </w:tcBorders>
            <w:gridSpan w:val="2"/>
            <w:shd w:val="clear" w:color="auto" w:fill="CCEEFF"/>
          </w:tcPr>
          <w:p>
            <w:pPr>
              <w:ind w:left="20"/>
              <w:spacing w:after="0" w:line="169"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Material Change Report dated April 6, 2022</w:t>
              </w:r>
            </w:hyperlink>
          </w:p>
        </w:tc>
      </w:tr>
      <w:tr>
        <w:trPr>
          <w:trHeight w:val="574"/>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68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April 6,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ind w:right="80"/>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154305</wp:posOffset>
            </wp:positionV>
            <wp:extent cx="204025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Bitfarms Reaches 3 Exahash per Second as Production Starts at Leger</w:t>
      </w: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Increases Total Capacity to 137 Megawatts and Production Locations to Nine -</w:t>
      </w:r>
    </w:p>
    <w:p>
      <w:pPr>
        <w:spacing w:after="0" w:line="200" w:lineRule="exact"/>
        <w:rPr>
          <w:sz w:val="20"/>
          <w:szCs w:val="20"/>
          <w:color w:val="auto"/>
        </w:rPr>
      </w:pPr>
    </w:p>
    <w:p>
      <w:pPr>
        <w:spacing w:after="0" w:line="239" w:lineRule="exact"/>
        <w:rPr>
          <w:sz w:val="20"/>
          <w:szCs w:val="20"/>
          <w:color w:val="auto"/>
        </w:rPr>
      </w:pPr>
    </w:p>
    <w:p>
      <w:pPr>
        <w:ind w:left="660" w:right="88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3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(April 6,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TSXV: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production at Leger, located in Sherbrooke, Québec, increasing our operational hashrate to 3 exahash per second (EH/s). The initial deployment at Leger brought online 16 megawatts (MW) of its planned total of 30 MW of capacity. Approximately 2,500 of the latest generation miners have already been made operational immediately adding over 250 petahash per second (PH/s) to the Company’s hashrate with more miners scheduled to be installed in the coming days.</w:t>
      </w:r>
    </w:p>
    <w:p>
      <w:pPr>
        <w:spacing w:after="0" w:line="183" w:lineRule="exact"/>
        <w:rPr>
          <w:sz w:val="20"/>
          <w:szCs w:val="20"/>
          <w:color w:val="auto"/>
        </w:rPr>
      </w:pPr>
    </w:p>
    <w:p>
      <w:pPr>
        <w:jc w:val="both"/>
        <w:ind w:left="20" w:right="100"/>
        <w:spacing w:after="0" w:line="261" w:lineRule="auto"/>
        <w:rPr>
          <w:sz w:val="20"/>
          <w:szCs w:val="20"/>
          <w:color w:val="auto"/>
        </w:rPr>
      </w:pPr>
      <w:r>
        <w:rPr>
          <w:rFonts w:ascii="Times New Roman" w:cs="Times New Roman" w:eastAsia="Times New Roman" w:hAnsi="Times New Roman"/>
          <w:sz w:val="18"/>
          <w:szCs w:val="18"/>
          <w:color w:val="auto"/>
        </w:rPr>
        <w:t>“By achieving the 3 EH/s hashrate, I am proud to report we achieved our 3 EH/s milestone within days of our target date and that we were able to successfully navigate an ever- changing logistics landscape without significant delay,” said Emiliano Grodzki, CEO of Bitfarms. “Our newer farms, like Leger and The Bunker, benefit from Bitfarms’ expertise of building mining facilities over the last 5 years, and these locations incorporate the latest in design and operate with higher efficiencies and uptimes.”</w:t>
      </w:r>
    </w:p>
    <w:p>
      <w:pPr>
        <w:spacing w:after="0" w:line="180" w:lineRule="exact"/>
        <w:rPr>
          <w:sz w:val="20"/>
          <w:szCs w:val="20"/>
          <w:color w:val="auto"/>
        </w:rPr>
      </w:pPr>
    </w:p>
    <w:p>
      <w:pPr>
        <w:jc w:val="both"/>
        <w:ind w:left="20" w:right="100"/>
        <w:spacing w:after="0" w:line="261" w:lineRule="auto"/>
        <w:rPr>
          <w:sz w:val="20"/>
          <w:szCs w:val="20"/>
          <w:color w:val="auto"/>
        </w:rPr>
      </w:pPr>
      <w:r>
        <w:rPr>
          <w:rFonts w:ascii="Times New Roman" w:cs="Times New Roman" w:eastAsia="Times New Roman" w:hAnsi="Times New Roman"/>
          <w:sz w:val="18"/>
          <w:szCs w:val="18"/>
          <w:color w:val="auto"/>
        </w:rPr>
        <w:t>“Maintaining our laser focus on increasing our hashrate, we are on target to complete the build out of the remaining 14 MW at Leger by June 30, 2022, which is expected to contribute another 400 PH/s. We are also excited the second phase of construction at The Bunker is planned to be completed and bring on an additional 18 MW during the same timeframe. With robust miner deliveries scheduled, we expect our growth momentum to continue in the second quarter of 2022,” concluded Grodzki.</w:t>
      </w:r>
    </w:p>
    <w:p>
      <w:pPr>
        <w:spacing w:after="0" w:line="180" w:lineRule="exact"/>
        <w:rPr>
          <w:sz w:val="20"/>
          <w:szCs w:val="20"/>
          <w:color w:val="auto"/>
        </w:rPr>
      </w:pPr>
    </w:p>
    <w:p>
      <w:pPr>
        <w:jc w:val="both"/>
        <w:ind w:left="20" w:right="100" w:hanging="8"/>
        <w:spacing w:after="0" w:line="266" w:lineRule="auto"/>
        <w:rPr>
          <w:sz w:val="20"/>
          <w:szCs w:val="20"/>
          <w:color w:val="auto"/>
        </w:rPr>
      </w:pPr>
      <w:r>
        <w:rPr>
          <w:rFonts w:ascii="Times New Roman" w:cs="Times New Roman" w:eastAsia="Times New Roman" w:hAnsi="Times New Roman"/>
          <w:sz w:val="18"/>
          <w:szCs w:val="18"/>
          <w:color w:val="auto"/>
        </w:rPr>
        <w:t>With the addition of Leger, Bitfarms’ capacity increased to 137 MW and locations in production increased to seven in Québec and nine total. With 33,300 miners online across 9 farms and 3 countries, Bitfarms’ operational hashrate is currently at 3 EH/s, and the Company is presently mining about 13.3 bitcoins (BTC) per day, worth about US$605,000 per day at today’s BTC price of approximately US$45,500.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346075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8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2" w:lineRule="exact"/>
        <w:rPr>
          <w:sz w:val="20"/>
          <w:szCs w:val="20"/>
          <w:color w:val="auto"/>
        </w:rPr>
      </w:pPr>
    </w:p>
    <w:p>
      <w:pPr>
        <w:jc w:val="both"/>
        <w:ind w:hanging="10"/>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w:t>
      </w:r>
    </w:p>
    <w:p>
      <w:pPr>
        <w:spacing w:after="0" w:line="180" w:lineRule="exact"/>
        <w:rPr>
          <w:sz w:val="20"/>
          <w:szCs w:val="20"/>
          <w:color w:val="auto"/>
        </w:rPr>
      </w:pPr>
    </w:p>
    <w:p>
      <w:pPr>
        <w:jc w:val="both"/>
        <w:ind w:hanging="10"/>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 term power contracts. Bitfarms is currently the only publicly traded pure-play mining company audited by a Big Four accounting firm.</w:t>
      </w:r>
    </w:p>
    <w:p>
      <w:pPr>
        <w:spacing w:after="0" w:line="176"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To learn more about Bitfarms’ events, developments, and online communities: Website: www.bitfarms.com https://www.facebook.com/bitfarms/ https://twitter.com/Bitfarms_io https://www.instagram.com/bitfarms/ https://www.linkedin.com/company/bitfarms/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65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1"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acquiring and holding Bitcoin,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ind w:hanging="8"/>
        <w:spacing w:after="0" w:line="253"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w:t>
      </w:r>
    </w:p>
    <w:p>
      <w:pPr>
        <w:spacing w:after="0" w:line="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227330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86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mia@yapglobal.com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Valérie Pomerleau, Public Affairs and Communications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417195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019"/>
      </w:cols>
      <w:pgMar w:left="4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2022-04-06T15:02:51Z</dcterms:created>
  <dcterms:modified xsi:type="dcterms:W3CDTF">2022-04-06T15:02:51Z</dcterms:modified>
</cp:coreProperties>
</file>